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1262_8k.htm"/>
      <w:bookmarkStart w:id="1" w:name="ksdp251262_8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80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8"/>
        </w:rPr>
        <w:t>PRECIGEN, INC.</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270"/>
        <w:gridCol w:w="1385"/>
        <w:gridCol w:w="1565"/>
      </w:tblGrid>
      <w:tr>
        <w:trPr/>
        <w:tc>
          <w:tcPr>
            <w:tcW w:w="2270" w:type="dxa"/>
            <w:tcBorders/>
            <w:vAlign w:val="center"/>
          </w:tcPr>
          <w:p>
            <w:pPr>
              <w:pStyle w:val="TableContents"/>
              <w:bidi w:val="0"/>
              <w:spacing w:before="0" w:after="283"/>
              <w:jc w:val="center"/>
              <w:rPr>
                <w:b/>
                <w:sz w:val="20"/>
              </w:rPr>
            </w:pPr>
            <w:bookmarkStart w:id="5" w:name="xdx_903_edei--EntityIncorporationStateCo"/>
            <w:bookmarkEnd w:id="5"/>
            <w:r>
              <w:rPr>
                <w:b/>
                <w:sz w:val="20"/>
              </w:rPr>
              <w:t>Virginia</w:t>
            </w:r>
          </w:p>
        </w:tc>
        <w:tc>
          <w:tcPr>
            <w:tcW w:w="1385" w:type="dxa"/>
            <w:tcBorders/>
            <w:vAlign w:val="center"/>
          </w:tcPr>
          <w:p>
            <w:pPr>
              <w:pStyle w:val="TableContents"/>
              <w:bidi w:val="0"/>
              <w:spacing w:before="0" w:after="283"/>
              <w:jc w:val="center"/>
              <w:rPr>
                <w:b/>
                <w:sz w:val="20"/>
              </w:rPr>
            </w:pPr>
            <w:bookmarkStart w:id="6" w:name="xdx_901_edei--EntityFileNumber_c20260804"/>
            <w:bookmarkEnd w:id="6"/>
            <w:r>
              <w:rPr>
                <w:b/>
                <w:sz w:val="20"/>
              </w:rPr>
              <w:t>001-36042</w:t>
            </w:r>
          </w:p>
        </w:tc>
        <w:tc>
          <w:tcPr>
            <w:tcW w:w="1565" w:type="dxa"/>
            <w:tcBorders/>
            <w:vAlign w:val="center"/>
          </w:tcPr>
          <w:p>
            <w:pPr>
              <w:pStyle w:val="TableContents"/>
              <w:bidi w:val="0"/>
              <w:spacing w:before="0" w:after="283"/>
              <w:jc w:val="center"/>
              <w:rPr>
                <w:b/>
                <w:sz w:val="20"/>
              </w:rPr>
            </w:pPr>
            <w:bookmarkStart w:id="7" w:name="xdx_908_edei--EntityTaxIdentificationNum"/>
            <w:bookmarkEnd w:id="7"/>
            <w:r>
              <w:rPr>
                <w:b/>
                <w:sz w:val="20"/>
              </w:rPr>
              <w:t>26-0084895</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385" w:type="dxa"/>
            <w:tcBorders/>
            <w:vAlign w:val="center"/>
          </w:tcPr>
          <w:p>
            <w:pPr>
              <w:pStyle w:val="TableContents"/>
              <w:bidi w:val="0"/>
              <w:spacing w:before="0" w:after="283"/>
              <w:jc w:val="center"/>
              <w:rPr>
                <w:b/>
              </w:rPr>
            </w:pPr>
            <w:r>
              <w:rPr>
                <w:b/>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20374 Seneca Meadows Parkway, </w:t>
      </w:r>
      <w:bookmarkStart w:id="9" w:name="xdx_90D_edei--EntityAddressCityOrTown_c2"/>
      <w:bookmarkEnd w:id="9"/>
      <w:r>
        <w:rPr>
          <w:rFonts w:ascii="Times New Roman;Times;Serif" w:hAnsi="Times New Roman;Times;Serif"/>
          <w:b/>
          <w:i w:val="false"/>
          <w:caps w:val="false"/>
          <w:smallCaps w:val="false"/>
          <w:sz w:val="20"/>
        </w:rPr>
        <w:t xml:space="preserve">Germantown, </w:t>
      </w:r>
      <w:bookmarkStart w:id="10" w:name="xdx_906_edei--EntityAddressStateOrProvin"/>
      <w:bookmarkEnd w:id="10"/>
      <w:r>
        <w:rPr>
          <w:rFonts w:ascii="Times New Roman;Times;Serif" w:hAnsi="Times New Roman;Times;Serif"/>
          <w:b/>
          <w:i w:val="false"/>
          <w:caps w:val="false"/>
          <w:smallCaps w:val="false"/>
          <w:sz w:val="20"/>
        </w:rPr>
        <w:t xml:space="preserve">Maryland </w:t>
      </w:r>
      <w:bookmarkStart w:id="11" w:name="xdx_90F_edei--EntityAddressPostalZipCode"/>
      <w:bookmarkEnd w:id="11"/>
      <w:r>
        <w:rPr>
          <w:rFonts w:ascii="Times New Roman;Times;Serif" w:hAnsi="Times New Roman;Times;Serif"/>
          <w:b/>
          <w:i w:val="false"/>
          <w:caps w:val="false"/>
          <w:smallCaps w:val="false"/>
          <w:sz w:val="20"/>
        </w:rPr>
        <w:t>20876</w:t>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804__20"/>
      <w:bookmarkEnd w:id="12"/>
      <w:r>
        <w:rPr>
          <w:rFonts w:ascii="Times New Roman;Times;Serif" w:hAnsi="Times New Roman;Times;Serif"/>
          <w:b/>
          <w:i w:val="false"/>
          <w:caps w:val="false"/>
          <w:smallCaps w:val="false"/>
          <w:sz w:val="20"/>
        </w:rPr>
        <w:t xml:space="preserve">301) </w:t>
      </w:r>
      <w:bookmarkStart w:id="13" w:name="xdx_90E_edei--LocalPhoneNumber_c20260804"/>
      <w:bookmarkEnd w:id="13"/>
      <w:r>
        <w:rPr>
          <w:rFonts w:ascii="Times New Roman;Times;Serif" w:hAnsi="Times New Roman;Times;Serif"/>
          <w:b/>
          <w:i w:val="false"/>
          <w:caps w:val="false"/>
          <w:smallCaps w:val="false"/>
          <w:sz w:val="20"/>
        </w:rPr>
        <w:t>556-9900</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SolicitingMaterial_c202608"/>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2555"/>
        <w:gridCol w:w="905"/>
        <w:gridCol w:w="2510"/>
      </w:tblGrid>
      <w:tr>
        <w:trPr/>
        <w:tc>
          <w:tcPr>
            <w:tcW w:w="25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w:t>
            </w:r>
          </w:p>
        </w:tc>
        <w:tc>
          <w:tcPr>
            <w:tcW w:w="9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 </w:t>
            </w:r>
          </w:p>
        </w:tc>
        <w:tc>
          <w:tcPr>
            <w:tcW w:w="25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 </w:t>
            </w:r>
          </w:p>
        </w:tc>
      </w:tr>
      <w:tr>
        <w:trPr/>
        <w:tc>
          <w:tcPr>
            <w:tcW w:w="2555" w:type="dxa"/>
            <w:tcBorders/>
            <w:vAlign w:val="center"/>
          </w:tcPr>
          <w:p>
            <w:pPr>
              <w:pStyle w:val="TableContents"/>
              <w:bidi w:val="0"/>
              <w:spacing w:before="0" w:after="283"/>
              <w:jc w:val="center"/>
              <w:rPr>
                <w:b/>
                <w:sz w:val="20"/>
              </w:rPr>
            </w:pPr>
            <w:bookmarkStart w:id="18" w:name="xdx_900_edei--Security12bTitle_c20260804"/>
            <w:bookmarkEnd w:id="18"/>
            <w:r>
              <w:rPr>
                <w:b/>
                <w:sz w:val="20"/>
              </w:rPr>
              <w:t>Common Stock, No Par Value</w:t>
            </w:r>
          </w:p>
        </w:tc>
        <w:tc>
          <w:tcPr>
            <w:tcW w:w="905" w:type="dxa"/>
            <w:tcBorders/>
            <w:vAlign w:val="center"/>
          </w:tcPr>
          <w:p>
            <w:pPr>
              <w:pStyle w:val="TableContents"/>
              <w:bidi w:val="0"/>
              <w:spacing w:before="0" w:after="283"/>
              <w:jc w:val="center"/>
              <w:rPr>
                <w:b/>
                <w:sz w:val="20"/>
              </w:rPr>
            </w:pPr>
            <w:bookmarkStart w:id="19" w:name="xdx_908_edei--TradingSymbol_c20260804__2"/>
            <w:bookmarkEnd w:id="19"/>
            <w:r>
              <w:rPr>
                <w:b/>
                <w:sz w:val="20"/>
              </w:rPr>
              <w:t>PGEN</w:t>
            </w:r>
          </w:p>
        </w:tc>
        <w:tc>
          <w:tcPr>
            <w:tcW w:w="2510" w:type="dxa"/>
            <w:tcBorders/>
            <w:vAlign w:val="center"/>
          </w:tcPr>
          <w:p>
            <w:pPr>
              <w:pStyle w:val="TableContents"/>
              <w:bidi w:val="0"/>
              <w:spacing w:before="0" w:after="283"/>
              <w:jc w:val="center"/>
              <w:rPr>
                <w:b/>
                <w:sz w:val="20"/>
              </w:rPr>
            </w:pPr>
            <w:bookmarkStart w:id="20" w:name="xdx_90A_edei--SecurityExchangeName_c2026"/>
            <w:bookmarkEnd w:id="20"/>
            <w:r>
              <w:rPr>
                <w:b/>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is a copy of a press release of Precigen, Inc., dated August 4, 2026, reporting its financial results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283"/>
              <w:jc w:val="left"/>
              <w:rPr>
                <w:b/>
              </w:rPr>
            </w:pPr>
            <w:r>
              <w:rPr>
                <w:b/>
              </w:rPr>
              <w:t>Exhibit</w:t>
              <w:br/>
              <w:t>  No.</w:t>
            </w:r>
          </w:p>
        </w:tc>
        <w:tc>
          <w:tcPr>
            <w:tcW w:w="942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pPr>
            <w:hyperlink w:anchor="dp251262_ex9901.htm">
              <w:r>
                <w:rPr>
                  <w:rStyle w:val="InternetLink"/>
                  <w:color w:val="0000FF"/>
                  <w:u w:val="single"/>
                </w:rPr>
                <w:t>99.1</w:t>
              </w:r>
            </w:hyperlink>
          </w:p>
        </w:tc>
        <w:tc>
          <w:tcPr>
            <w:tcW w:w="9420" w:type="dxa"/>
            <w:tcBorders/>
            <w:vAlign w:val="center"/>
          </w:tcPr>
          <w:p>
            <w:pPr>
              <w:pStyle w:val="TableContents"/>
              <w:bidi w:val="0"/>
              <w:spacing w:before="0" w:after="283"/>
              <w:jc w:val="left"/>
              <w:rPr/>
            </w:pPr>
            <w:hyperlink w:anchor="dp251262_ex9901.htm">
              <w:r>
                <w:rPr>
                  <w:rStyle w:val="InternetLink"/>
                  <w:color w:val="0000FF"/>
                  <w:u w:val="single"/>
                </w:rPr>
                <w:t>Press release dated August 4, 2026</w:t>
              </w:r>
            </w:hyperlink>
          </w:p>
        </w:tc>
      </w:tr>
      <w:tr>
        <w:trPr/>
        <w:tc>
          <w:tcPr>
            <w:tcW w:w="785" w:type="dxa"/>
            <w:tcBorders/>
            <w:vAlign w:val="center"/>
          </w:tcPr>
          <w:p>
            <w:pPr>
              <w:pStyle w:val="TableContents"/>
              <w:bidi w:val="0"/>
              <w:spacing w:before="0" w:after="283"/>
              <w:jc w:val="left"/>
              <w:rPr/>
            </w:pPr>
            <w:r>
              <w:rPr/>
              <w:t>104</w:t>
            </w:r>
          </w:p>
        </w:tc>
        <w:tc>
          <w:tcPr>
            <w:tcW w:w="9420" w:type="dxa"/>
            <w:tcBorders/>
            <w:vAlign w:val="center"/>
          </w:tcPr>
          <w:p>
            <w:pPr>
              <w:pStyle w:val="TableContents"/>
              <w:bidi w:val="0"/>
              <w:spacing w:before="0" w:after="283"/>
              <w:jc w:val="left"/>
              <w:rPr/>
            </w:pPr>
            <w:r>
              <w:rPr/>
              <w:t>Cover Page Interactive Data File (formatted as inline XBRL with applicable taxonomy extension information contained in Exhibits 101)</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65"/>
        <w:gridCol w:w="189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rPr>
            </w:pPr>
            <w:r>
              <w:rPr>
                <w:b/>
              </w:rPr>
              <w:t>Precigen, Inc.</w:t>
            </w:r>
          </w:p>
        </w:tc>
      </w:tr>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Donald P. Lehr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Donald P. Lehr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2" w:name="dp251262_ex9901.htm"/>
      <w:bookmarkStart w:id="23" w:name="ksdp251262_ex9901"/>
      <w:bookmarkEnd w:id="22"/>
      <w:bookmarkEnd w:id="23"/>
      <w:r>
        <w:rPr/>
        <w:t> </w:t>
      </w:r>
      <w:r>
        <w:br w:type="page"/>
      </w:r>
    </w:p>
    <w:p>
      <w:pPr>
        <w:pStyle w:val="TextBody"/>
        <w:bidi w:val="0"/>
        <w:jc w:val="right"/>
        <w:rPr>
          <w:rFonts w:ascii="Arial;Helvetica;Sans-Serif" w:hAnsi="Arial;Helvetica;Sans-Serif"/>
          <w:b/>
        </w:rPr>
      </w:pPr>
      <w:r>
        <w:rPr>
          <w:rFonts w:ascii="Arial;Helvetica;Sans-Serif" w:hAnsi="Arial;Helvetica;Sans-Serif"/>
          <w:b/>
        </w:rPr>
        <w:t>Exhibit 99.1</w:t>
      </w:r>
    </w:p>
    <w:p>
      <w:pPr>
        <w:pStyle w:val="TextBody"/>
        <w:bidi w:val="0"/>
        <w:jc w:val="left"/>
        <w:rPr/>
      </w:pPr>
      <w:r>
        <w:rPr/>
        <w:t> </w:t>
      </w:r>
    </w:p>
    <w:p>
      <w:pPr>
        <w:pStyle w:val="TextBody"/>
        <w:bidi w:val="0"/>
        <w:jc w:val="center"/>
        <w:rPr/>
      </w:pPr>
      <w:r>
        <w:rPr/>
        <w:drawing>
          <wp:inline distT="0" distB="0" distL="0" distR="0">
            <wp:extent cx="10858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533400"/>
                    </a:xfrm>
                    <a:prstGeom prst="rect">
                      <a:avLst/>
                    </a:prstGeom>
                  </pic:spPr>
                </pic:pic>
              </a:graphicData>
            </a:graphic>
          </wp:inline>
        </w:drawing>
      </w:r>
      <w:r>
        <w:rPr/>
        <w:t> </w:t>
      </w:r>
    </w:p>
    <w:p>
      <w:pPr>
        <w:pStyle w:val="TextBody"/>
        <w:bidi w:val="0"/>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Precigen Reports Second Quarter 2026 Financial Results Highlighted by Accelerating PAPZIMEOS Revenue Growth</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i/>
              </w:rPr>
            </w:pPr>
            <w:r>
              <w:rPr>
                <w:rFonts w:ascii="Arial;Helvetica;Sans-Serif" w:hAnsi="Arial;Helvetica;Sans-Serif"/>
                <w:i/>
              </w:rPr>
              <w:t>PAPZIMEOS</w:t>
            </w:r>
            <w:r>
              <w:rPr>
                <w:rFonts w:ascii="Arial;Helvetica;Sans-Serif" w:hAnsi="Arial;Helvetica;Sans-Serif"/>
                <w:i/>
                <w:position w:val="8"/>
                <w:sz w:val="19"/>
              </w:rPr>
              <w:t xml:space="preserve">® </w:t>
            </w:r>
            <w:r>
              <w:rPr>
                <w:rFonts w:ascii="Arial;Helvetica;Sans-Serif" w:hAnsi="Arial;Helvetica;Sans-Serif"/>
                <w:i/>
              </w:rPr>
              <w:t>net revenue of $53.1 million in the second quarter of 2026, more than double the prior quarter, reflects accelerating commercial momentum and broad US adoption</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both"/>
              <w:rPr>
                <w:rFonts w:ascii="Arial;Helvetica;Sans-Serif" w:hAnsi="Arial;Helvetica;Sans-Serif"/>
                <w:i/>
              </w:rPr>
            </w:pPr>
            <w:r>
              <w:rPr>
                <w:rFonts w:ascii="Arial;Helvetica;Sans-Serif" w:hAnsi="Arial;Helvetica;Sans-Serif"/>
                <w:i/>
              </w:rPr>
              <w:t>PAPZIMEOS revenue propelled the Company to quarterly profitability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i/>
              </w:rPr>
            </w:pPr>
            <w:r>
              <w:rPr>
                <w:rFonts w:ascii="Arial;Helvetica;Sans-Serif" w:hAnsi="Arial;Helvetica;Sans-Serif"/>
                <w:i/>
              </w:rPr>
              <w:t>Cash, cash equivalents, and investments totaled $38.7 million as of June 30, 2026, which together with proceeds from PAPZIMEOS revenue, is expected to support cash flow break-even by the end of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i/>
                <w:sz w:val="20"/>
              </w:rPr>
            </w:pPr>
            <w:r>
              <w:rPr>
                <w:rFonts w:ascii="Arial;Helvetica;Sans-Serif" w:hAnsi="Arial;Helvetica;Sans-Serif"/>
                <w:i/>
                <w:sz w:val="20"/>
              </w:rPr>
              <w:t>PAPZIMEOS patient hub enrollment reached well over 500 patients across major centers and community practices, demonstrating expanding reach and ease of administration across treatment settings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i/>
                <w:sz w:val="20"/>
              </w:rPr>
            </w:pPr>
            <w:r>
              <w:rPr>
                <w:rFonts w:ascii="Arial;Helvetica;Sans-Serif" w:hAnsi="Arial;Helvetica;Sans-Serif"/>
                <w:i/>
                <w:sz w:val="20"/>
              </w:rPr>
              <w:t xml:space="preserve">FDA granted PAPZIMEOS seven-year market exclusivity, providing long-term protection against prospective competition </w:t>
            </w:r>
          </w:p>
        </w:tc>
      </w:tr>
    </w:tbl>
    <w:tbl>
      <w:tblPr>
        <w:tblW w:w="5000" w:type="pct"/>
        <w:jc w:val="left"/>
        <w:tblInd w:w="0" w:type="dxa"/>
        <w:tblLayout w:type="fixed"/>
        <w:tblCellMar>
          <w:top w:w="0" w:type="dxa"/>
          <w:left w:w="0" w:type="dxa"/>
          <w:bottom w:w="0" w:type="dxa"/>
          <w:right w:w="0" w:type="dxa"/>
        </w:tblCellMar>
      </w:tblPr>
      <w:tblGrid>
        <w:gridCol w:w="87"/>
        <w:gridCol w:w="288"/>
        <w:gridCol w:w="9830"/>
      </w:tblGrid>
      <w:tr>
        <w:trPr/>
        <w:tc>
          <w:tcPr>
            <w:tcW w:w="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Symbol" w:hAnsi="Symbol"/>
              </w:rPr>
            </w:pPr>
            <w:r>
              <w:rPr>
                <w:rFonts w:ascii="Symbol" w:hAnsi="Symbol"/>
              </w:rPr>
              <w:t>·</w:t>
            </w:r>
          </w:p>
        </w:tc>
        <w:tc>
          <w:tcPr>
            <w:tcW w:w="9830" w:type="dxa"/>
            <w:tcBorders/>
            <w:vAlign w:val="center"/>
          </w:tcPr>
          <w:p>
            <w:pPr>
              <w:pStyle w:val="TableContents"/>
              <w:bidi w:val="0"/>
              <w:spacing w:before="0" w:after="283"/>
              <w:jc w:val="both"/>
              <w:rPr>
                <w:rFonts w:ascii="Arial;Helvetica;Sans-Serif" w:hAnsi="Arial;Helvetica;Sans-Serif"/>
                <w:i/>
                <w:sz w:val="20"/>
              </w:rPr>
            </w:pPr>
            <w:r>
              <w:rPr>
                <w:rFonts w:ascii="Arial;Helvetica;Sans-Serif" w:hAnsi="Arial;Helvetica;Sans-Serif"/>
                <w:i/>
                <w:sz w:val="20"/>
              </w:rPr>
              <w:t>Conference call scheduled for 4:30 PM ET today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GERMANTOWN, MD, August 4, 2026</w:t>
      </w:r>
      <w:r>
        <w:rPr>
          <w:rFonts w:ascii="Arial;Helvetica;Sans-Serif" w:hAnsi="Arial;Helvetica;Sans-Serif"/>
          <w:b w:val="false"/>
          <w:i w:val="false"/>
          <w:caps w:val="false"/>
          <w:smallCaps w:val="false"/>
          <w:sz w:val="20"/>
        </w:rPr>
        <w:t xml:space="preserve"> – </w:t>
      </w:r>
      <w:r>
        <w:rPr>
          <w:rFonts w:ascii="Arial;Helvetica;Sans-Serif" w:hAnsi="Arial;Helvetica;Sans-Serif"/>
          <w:b w:val="false"/>
          <w:i w:val="false"/>
          <w:caps w:val="false"/>
          <w:smallCaps w:val="false"/>
          <w:sz w:val="20"/>
          <w:u w:val="single"/>
        </w:rPr>
        <w:t>Precigen, Inc.</w:t>
      </w:r>
      <w:r>
        <w:rPr>
          <w:rFonts w:ascii="Arial;Helvetica;Sans-Serif" w:hAnsi="Arial;Helvetica;Sans-Serif"/>
          <w:b w:val="false"/>
          <w:i w:val="false"/>
          <w:caps w:val="false"/>
          <w:smallCaps w:val="false"/>
          <w:sz w:val="20"/>
        </w:rPr>
        <w:t xml:space="preserve"> (Nasdaq: PGEN), a commercial-stage biopharmaceutical company specializing in the advancement of innovative precision medicines to improve the lives of patients, today announced second quarter 2026 financial results and business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 delivered a historic second quarter, with the rapid adoption of PAPZIMEOS demonstrating the strength of our groundbreaking science and innovative commercial strategy,” said Helen Sabzevari, PhD, President and CEO of Precigen. “This momentum provides a strong foundation for our next phase of growth as we work to expand PAPZIMEOS globally and into the pediatric population. PAPZIMEOS demonstrates the AdenoVerse platform’s ability to target HPV-associated diseases. We are building on that validated capability by advancing PRGN-2009 in HPV-driven cancers, with a pipeline update expected by year-end. With growing commercial momentum, a validated platform, and multiple opportunities ahead, we believe Precigen is well positioned to deliver sustained value for patients across various indications, the broader healthcare community, and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 continue to see the key elements of the PAPZIMEOS commercial launch drive revenue growth: 100% field engagement with our initial target accounts, active patient and HCP campaigns, a permanent J-code supporting access and site activations, payer coverage across nearly all insured US lives, growing physician consensus reflected in a RRP position paper, and continued patient hub enrollments,” said Phil Tennant, Chief Commercial Officer of Precigen. “This progress translated into strong quarterly revenue growth and increasing adoption across major medical centers and community practices as PAPZIMEOS becomes established as a new standard of care for adults with RRP. We remain focused on converting demand into treated patients and further expanding access to PAPZIMEOS across the RRP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br/>
        <w:t>KEY PROGRAM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PAPZIMEOS</w:t>
      </w:r>
      <w:r>
        <w:rPr>
          <w:rFonts w:ascii="Arial;Helvetica;Sans-Serif" w:hAnsi="Arial;Helvetica;Sans-Serif"/>
          <w:b w:val="false"/>
          <w:i w:val="false"/>
          <w:caps w:val="false"/>
          <w:smallCaps w:val="false"/>
          <w:position w:val="7"/>
          <w:sz w:val="16"/>
          <w:sz w:val="20"/>
        </w:rPr>
        <w:t>®</w:t>
      </w:r>
      <w:r>
        <w:rPr>
          <w:rFonts w:ascii="Arial;Helvetica;Sans-Serif" w:hAnsi="Arial;Helvetica;Sans-Serif"/>
          <w:b/>
          <w:i w:val="false"/>
          <w:caps w:val="false"/>
          <w:smallCaps w:val="false"/>
          <w:sz w:val="20"/>
        </w:rPr>
        <w:t xml:space="preserve">: First-line Standard of Care for the Treatment of Adults with RRP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PAPZIMEOS (zopapogene imadenovec-drba) is a non-replicating adenoviral vector-based immunotherapy designed to generate an immune response directed against HPV 6 and HPV 11 proteins in patients with recurrent respiratory papillomatosis (RRP). PAPZIMEOS has been approved by the US Food and Drug Administration (FDA) for the treatment of adults with RRP.</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Broad US adoption:</w:t>
            </w:r>
            <w:r>
              <w:rPr>
                <w:rFonts w:ascii="Arial;Helvetica;Sans-Serif" w:hAnsi="Arial;Helvetica;Sans-Serif"/>
              </w:rPr>
              <w:t xml:space="preserve"> Well over 500 patients have registered through Precigen’s patient hub, with additional patients outside of the hub being identified and receiving treatment as institutions support patient access directly and independently.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 xml:space="preserve">Market exclusivity: </w:t>
            </w:r>
            <w:r>
              <w:rPr>
                <w:rFonts w:ascii="Arial;Helvetica;Sans-Serif" w:hAnsi="Arial;Helvetica;Sans-Serif"/>
              </w:rPr>
              <w:t>PAPZIMEOS was granted seven years of market exclusivity by the FDA, providing long-term protection against prospective competition. PAPZIMEOS remains the first and only approved therapy for adults with RRP and the only treatment designed to target the underlying cause of the disease.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Broad payer coverage:</w:t>
            </w:r>
            <w:r>
              <w:rPr>
                <w:rFonts w:ascii="Arial;Helvetica;Sans-Serif" w:hAnsi="Arial;Helvetica;Sans-Serif"/>
              </w:rPr>
              <w:t xml:space="preserve"> </w:t>
            </w:r>
            <w:r>
              <w:rPr>
                <w:rFonts w:ascii="Arial;Helvetica;Sans-Serif" w:hAnsi="Arial;Helvetica;Sans-Serif"/>
                <w:b w:val="false"/>
              </w:rPr>
              <w:t>PAPZIMEOS has payer coverage across approximately 315 million US lives through private health plans, Medicare, and Medicaid, representing nearly 100% of insured lives nationwide.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 xml:space="preserve">Permanent J-code: </w:t>
            </w:r>
            <w:r>
              <w:rPr>
                <w:rFonts w:ascii="Arial;Helvetica;Sans-Serif" w:hAnsi="Arial;Helvetica;Sans-Serif"/>
              </w:rPr>
              <w:t>The Centers for Medicare and Medicaid Services assigned permanent J-code, J3404, to PAPZIMEOS, effective April 1, 2026. The J-code provides a standard pathway for reimbursement, helps institutions process claims more efficiently, and reduces uncertainty for sites that are still building PAPZIMEOS into their workflows.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 xml:space="preserve">First-line standard of care: </w:t>
            </w:r>
            <w:r>
              <w:rPr>
                <w:rFonts w:ascii="Arial;Helvetica;Sans-Serif" w:hAnsi="Arial;Helvetica;Sans-Serif"/>
              </w:rPr>
              <w:t xml:space="preserve">An expert position paper sponsored and published by the Recurrent Respiratory Papillomatosis Foundation and authored by 16 leading RRP physicians recommended PAPZIMEOS as the first-line standard of care for adults with RRP in the United States.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Redosing study enrolling patients:</w:t>
            </w:r>
            <w:r>
              <w:rPr>
                <w:rFonts w:ascii="Arial;Helvetica;Sans-Serif" w:hAnsi="Arial;Helvetica;Sans-Serif"/>
              </w:rPr>
              <w:t xml:space="preserve"> The Company’s open-label study to evaluate redosing efficacy of zopapogene imadenovec in adults with RRP is currently enrolling (clinical trial identifier: </w:t>
            </w:r>
            <w:r>
              <w:rPr>
                <w:rFonts w:ascii="Arial;Helvetica;Sans-Serif" w:hAnsi="Arial;Helvetica;Sans-Serif"/>
                <w:u w:val="single"/>
              </w:rPr>
              <w:t>NCT06538480</w:t>
            </w:r>
            <w:r>
              <w:rPr>
                <w:rFonts w:ascii="Arial;Helvetica;Sans-Serif" w:hAnsi="Arial;Helvetica;Sans-Serif"/>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MAA under review by the EMA:</w:t>
            </w:r>
            <w:r>
              <w:rPr>
                <w:rFonts w:ascii="Arial;Helvetica;Sans-Serif" w:hAnsi="Arial;Helvetica;Sans-Serif"/>
              </w:rPr>
              <w:t xml:space="preserve"> The European Medicines Agency (EMA) has validated and is reviewing the Marketing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drawing>
          <wp:inline distT="0" distB="0" distL="0" distR="0">
            <wp:extent cx="108585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5850" cy="533400"/>
                    </a:xfrm>
                    <a:prstGeom prst="rect">
                      <a:avLst/>
                    </a:prstGeom>
                  </pic:spPr>
                </pic:pic>
              </a:graphicData>
            </a:graphic>
          </wp:inline>
        </w:drawing>
      </w: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Authorization Application (MAA) submitted in November 2025 for zopapogene imadenovec for the treatment of adults with RRP. PAPZIMEOS has been granted </w:t>
      </w:r>
      <w:r>
        <w:rPr>
          <w:rFonts w:ascii="Arial;Helvetica;Sans-Serif" w:hAnsi="Arial;Helvetica;Sans-Serif"/>
          <w:b w:val="false"/>
          <w:i w:val="false"/>
          <w:caps w:val="false"/>
          <w:smallCaps w:val="false"/>
          <w:sz w:val="20"/>
          <w:u w:val="single"/>
        </w:rPr>
        <w:t>orphan drug designation</w:t>
      </w:r>
      <w:r>
        <w:rPr>
          <w:rFonts w:ascii="Arial;Helvetica;Sans-Serif" w:hAnsi="Arial;Helvetica;Sans-Serif"/>
          <w:b w:val="false"/>
          <w:i w:val="false"/>
          <w:caps w:val="false"/>
          <w:smallCaps w:val="false"/>
          <w:sz w:val="20"/>
        </w:rPr>
        <w:t xml:space="preserve"> from the European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PRGN-2009 AdenoVerse</w:t>
      </w:r>
      <w:r>
        <w:rPr>
          <w:rFonts w:ascii="Arial;Helvetica;Sans-Serif" w:hAnsi="Arial;Helvetica;Sans-Serif"/>
          <w:b/>
          <w:i w:val="false"/>
          <w:caps w:val="false"/>
          <w:smallCaps w:val="false"/>
          <w:position w:val="7"/>
          <w:sz w:val="16"/>
          <w:sz w:val="20"/>
        </w:rPr>
        <w:t>®</w:t>
      </w:r>
      <w:r>
        <w:rPr>
          <w:rFonts w:ascii="Arial;Helvetica;Sans-Serif" w:hAnsi="Arial;Helvetica;Sans-Serif"/>
          <w:b/>
          <w:i w:val="false"/>
          <w:caps w:val="false"/>
          <w:smallCaps w:val="false"/>
          <w:sz w:val="20"/>
        </w:rPr>
        <w:t xml:space="preserve"> Immunotherapy in HPV-associated Cancers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PRGN-2009 is an investigational AdenoVerse immunotherapy designed to activate the immune system to recognize and target HPV-associated cancers.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 xml:space="preserve">PRGN-2009 Phase 2 clinical trials under a cooperative research and development agreement (CRADA) with the National Cancer Institute (NCI) in newly diagnosed HPV-associated oropharyngeal cancer are ongoing.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 xml:space="preserve">A multicenter Phase 2 clinical trial of PRGN-2009 in combination with pembrolizumab in recurrent/metastatic cervical cancer is ongoing.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 plans to provide an update on progress across the AdenoVerse portfolio, including PRGN-2009, by the end of the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 are thrilled to report that Precigen achieved profitability in the second quarter, marking a significant milestone for the company. Net income was driven by strong PAPZIMEOS revenue of $53.1 million. As we progress through the third quarter of 2026, we are seeing continued growth in PAPZIMEOS demand," said Harry Thomasian Jr., Chief Financial Officer of Precigen. “Based upon our current revenue trajectory and present financial forecast, we continue to believe that our current cash position and anticipated cash to be received from PAPZIMEOS sales will fund operations through cash flow break-even by the end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Second Quarter 2026 Financial Results Compared to Prior Year Period</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revenues were $55.0 million for the three months ended June 30, 2026, an increase of $54.1 million compared to the three months ended June 30, 2025. The significant increase in total revenues was primarily due to the recording of commercial sales of PAPZIMEOS. Revenues related to the sale of PAPZIMEOS for the three months ended June 30, 2026 were $53.1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products and services increased by $1.7 million, compared to the three months ended June 30, 2025, almost entirely due to costs related to the recording of commercial sales of PAPZIMEOS following its FDA approval in August 2025. Prior to regulatory approval, costs associated with the production of PAPZIMEOS were expensed as research and development in accordance with the Company’s accounting policy. Upon FDA approval and the commencement of commercial sales, these costs are now capitalized as inventory and recognized in cost of product and services as product is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R&amp;D expenses decreased by $4.2 million, compared to the three months ended June 30, 2025, primarily due to the change in the accounting treatment of PAPZIMEOS manufacturing costs. The Company expects that R&amp;D expenses will increase as the year progresses.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SG&amp;A expenses increased by $6.1 million, compared to the three months ended June 30, 2025. This increase was primarily driven by commercial activities related to PAPZIMEOS following its FDA approval in August 2025. The higher expenses reflect increased costs to support commercialization, expanded marketing and promotional activities to drive product awareness and adoption, and increased personnel costs, including 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three months ended June 30, 2025, the Company recorded $3.9 million in impairment related to its Exemplar reporting unit with no comparable charge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other expense, net was $2.6 million for the three months ended June 30, 2026 compared to other income, net of $5.1 million for the three months ended June 30, 2025, a change of $7.7 million. This change was primarily attributable to the absence of a $4.5 million gain related to the decrease in the fair value of warrant liabilities that was recorded in the prior-year period. The remaining change primarily relates to an increase of $3.0 million in interest expense related to long term debt that originated in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income was $20.1 million, or $0.06 per basic and $0.05 per diluted share for the three months ended June 30, 2026, compared to a net loss of $26.6 million, or $(0.09) per basic and diluted share,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First Six Months 2026 Financial Results Compared to Prior Year Period</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revenues were $78.2 million for the six months ended June 30, 2026, an increase of $76.0 million compared to the six months ended June 30, 2025. The significant increase in total revenues was primarily due to the recording of commercial sales of PAPZIMEOS. Revenues related to the sale of PAPZIMEOS for the six months ended June 30, 2026 were $74.7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drawing>
          <wp:inline distT="0" distB="0" distL="0" distR="0">
            <wp:extent cx="108585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85850" cy="5334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products and services increased by $3.2 million, compared to the six months ended June 30, 2025, almost entirely due to costs related to the recording of commercial sales of PAPZIMEOS following its FDA approval in August 2025. Prior to regulatory approval, costs associated with the production of PAPZIMEOS were expensed as research and development in accordance with the Company’s accounting policy. Upon FDA approval and the commencement of commercial sales, these costs are now capitalized as inventory and recognized in cost of product and services as product is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R&amp;D expenses decreased by $9.0 million, compared to the six months ended June 30, 2025, primarily due to the change in the accounting treatment of PAPZIMEOS manufacturing costs. The Company expects that R&amp;D expenses will increase as the year progresses.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SG&amp;A expenses increased by $14.8 million, compared to the six months ended June 30, 2025. This increase was primarily driven by commercial activities related to PAPZIMEOS following its FDA approval in August 2025. The higher expenses reflect increased costs to support commercialization, expanded marketing and promotional activities to drive product awareness and adoption, and increased personnel costs, including 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six months ended June 30, 2025, the Company recorded $3.9 million in impairment related to its Exemplar reporting unit with no comparable charge in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other expense, net decreased by $21.9 million, compared to the six months ended June 30, 2025. This decrease was primarily attributable to the absence of a $28.0 million charge related to the increase in the fair value of warrant liabilities that was recorded in the prior-year period. The remaining change (an increase in other expense) primarily relates to an increase of $5.9 million in interest expense related to long-term debt that was entered into in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income was $12.1 million, or $0.03 per basic and diluted share for the six months ended June 30, 2026, compared to a net loss of $80.8 million, or $(0.27) per basic and diluted share,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Precigen: Advancing Medicine with Precision</w:t>
      </w:r>
      <w:r>
        <w:rPr>
          <w:rFonts w:ascii="Arial;Helvetica;Sans-Serif" w:hAnsi="Arial;Helvetica;Sans-Serif"/>
          <w:b/>
          <w:i w:val="false"/>
          <w:caps w:val="false"/>
          <w:smallCaps w:val="false"/>
          <w:position w:val="6"/>
          <w:sz w:val="14"/>
          <w:sz w:val="18"/>
        </w:rPr>
        <w:t>®</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Precigen (Nasdaq: PGEN) is a commercial-stage biopharmaceutical company specializing in the advancement of innovative precision medicines to address difficult-to-treat diseases with high unmet patient need. Precigen is dedicated to advancing scientific breakthroughs from proof-of-concept through commercialization. With a strong commitment to innovation, Precigen is developing a robust pipeline of differentiated therapies across its core therapeutic areas of immuno-oncology, autoimmune disorders, and infectious diseases. For more information about Precigen, visit </w:t>
      </w:r>
      <w:r>
        <w:rPr>
          <w:rFonts w:ascii="Arial;Helvetica;Sans-Serif" w:hAnsi="Arial;Helvetica;Sans-Serif"/>
          <w:b w:val="false"/>
          <w:i w:val="false"/>
          <w:caps w:val="false"/>
          <w:smallCaps w:val="false"/>
          <w:sz w:val="18"/>
          <w:u w:val="single"/>
        </w:rPr>
        <w:t>www.precigen.com</w:t>
      </w:r>
      <w:r>
        <w:rPr>
          <w:rFonts w:ascii="Arial;Helvetica;Sans-Serif" w:hAnsi="Arial;Helvetica;Sans-Serif"/>
          <w:b w:val="false"/>
          <w:i w:val="false"/>
          <w:caps w:val="false"/>
          <w:smallCaps w:val="false"/>
          <w:sz w:val="18"/>
        </w:rPr>
        <w:t xml:space="preserve"> or follow us on </w:t>
      </w:r>
      <w:r>
        <w:rPr>
          <w:rFonts w:ascii="Arial;Helvetica;Sans-Serif" w:hAnsi="Arial;Helvetica;Sans-Serif"/>
          <w:b w:val="false"/>
          <w:i w:val="false"/>
          <w:caps w:val="false"/>
          <w:smallCaps w:val="false"/>
          <w:sz w:val="18"/>
          <w:u w:val="single"/>
        </w:rPr>
        <w:t>LinkedIn</w:t>
      </w:r>
      <w:r>
        <w:rPr>
          <w:rFonts w:ascii="Arial;Helvetica;Sans-Serif" w:hAnsi="Arial;Helvetica;Sans-Serif"/>
          <w:b w:val="false"/>
          <w:i w:val="false"/>
          <w:caps w:val="false"/>
          <w:smallCaps w:val="false"/>
          <w:sz w:val="18"/>
        </w:rPr>
        <w:t xml:space="preserve"> or </w:t>
      </w:r>
      <w:r>
        <w:rPr>
          <w:rFonts w:ascii="Arial;Helvetica;Sans-Serif" w:hAnsi="Arial;Helvetica;Sans-Serif"/>
          <w:b w:val="false"/>
          <w:i w:val="false"/>
          <w:caps w:val="false"/>
          <w:smallCaps w:val="false"/>
          <w:sz w:val="18"/>
          <w:u w:val="single"/>
        </w:rPr>
        <w:t>YouTube</w:t>
      </w:r>
      <w:r>
        <w:rPr>
          <w:rFonts w:ascii="Arial;Helvetica;Sans-Serif" w:hAnsi="Arial;Helvetica;Sans-Serif"/>
          <w:b w:val="false"/>
          <w:i w:val="false"/>
          <w:caps w:val="false"/>
          <w:smallCaps w:val="false"/>
          <w:sz w:val="18"/>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Trademarks</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Precigen, PAPZIMEOS, AdenoVerse, and Advancing Medicine with Precision are trademarks of Precigen and/or its affiliates. Other names may be trademarks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18"/>
        </w:rPr>
      </w:pPr>
      <w:r>
        <w:rPr>
          <w:rFonts w:ascii="Arial;Helvetica;Sans-Serif" w:hAnsi="Arial;Helvetica;Sans-Serif"/>
          <w:b/>
          <w:i/>
          <w:caps w:val="false"/>
          <w:smallCaps w:val="false"/>
          <w:sz w:val="18"/>
        </w:rPr>
        <w:t>Cautionary Statement Regarding Forward-Looking Statements</w:t>
      </w:r>
    </w:p>
    <w:p>
      <w:pPr>
        <w:pStyle w:val="TextBody"/>
        <w:shd w:fill="FFFFFF" w:val="clear"/>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the Company expects. Examples of forward-looking statements include, among others, information relating to the Company’s business and business plans, the success of efforts to commercialize PAPZIMEOS</w:t>
      </w:r>
      <w:r>
        <w:rPr>
          <w:rFonts w:ascii="Arial;Helvetica;Sans-Serif" w:hAnsi="Arial;Helvetica;Sans-Serif"/>
          <w:b w:val="false"/>
          <w:i/>
          <w:caps w:val="false"/>
          <w:smallCaps w:val="false"/>
          <w:position w:val="6"/>
          <w:sz w:val="14"/>
          <w:sz w:val="18"/>
        </w:rPr>
        <w:t>®</w:t>
      </w:r>
      <w:r>
        <w:rPr>
          <w:rFonts w:ascii="Arial;Helvetica;Sans-Serif" w:hAnsi="Arial;Helvetica;Sans-Serif"/>
          <w:b w:val="false"/>
          <w:i/>
          <w:caps w:val="false"/>
          <w:smallCaps w:val="false"/>
          <w:sz w:val="18"/>
        </w:rPr>
        <w:t xml:space="preserve"> (zopapogene imadenovec-drba) for the treatment of recurrent respiratory papillomatosis (RRP) in adults including the revenue that the Company expects to realize from such efforts, the Company’s ability to successfully obtain foreign regulatory approvals for PAPZIMEOS, expectations about the safety and efficacy of PAPZIMEOS, the ability of PAPZIMEOS to treat RRP, the Company’s future financial and operational results including the Company’s ability to reach quarterly profitability and cash flow break-even, and the Company’s ability to commence clinical studies or complete ongoing clinical studies for the Company’s clinical and pre-clinical stage candidates. The Company has no obligation to provide any updates to these forward-looking statements even if its expectations change. All forward-looking statements are expressly qualified in their entirety by this cautionary statement. For further information on potential risks and uncertainties, and other important factors, any of which could cause the Company's actual results to differ from those contained in the forward-looking statements, see the section entitled “Risk Factors” in the Company’s most recent Annual Report on Form 10-K and subsequent reports filed with the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Investor Contact:</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Steven M. Harasym</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Tel: +1 (202) 365-2563</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investors@precigen.com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Media Contact:</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Donelle M. Gregory</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press@precigen.com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drawing>
          <wp:inline distT="0" distB="0" distL="0" distR="0">
            <wp:extent cx="108585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85850" cy="5334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Precigen,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Balance Sheets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695" w:type="dxa"/>
        <w:jc w:val="left"/>
        <w:tblInd w:w="0" w:type="dxa"/>
        <w:tblLayout w:type="fixed"/>
        <w:tblCellMar>
          <w:top w:w="28" w:type="dxa"/>
          <w:left w:w="0" w:type="dxa"/>
          <w:bottom w:w="28" w:type="dxa"/>
          <w:right w:w="0" w:type="dxa"/>
        </w:tblCellMar>
      </w:tblPr>
      <w:tblGrid>
        <w:gridCol w:w="4580"/>
        <w:gridCol w:w="1280"/>
        <w:gridCol w:w="60"/>
        <w:gridCol w:w="1775"/>
      </w:tblGrid>
      <w:tr>
        <w:trPr/>
        <w:tc>
          <w:tcPr>
            <w:tcW w:w="4580"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(Amounts in thousands)</w:t>
            </w:r>
          </w:p>
        </w:tc>
        <w:tc>
          <w:tcPr>
            <w:tcW w:w="1280" w:type="dxa"/>
            <w:tcBorders>
              <w:top w:val="single" w:sz="8" w:space="0" w:color="000000"/>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June 30, 2026</w:t>
            </w:r>
          </w:p>
        </w:tc>
        <w:tc>
          <w:tcPr>
            <w:tcW w:w="60" w:type="dxa"/>
            <w:tcBorders/>
            <w:tcMar>
              <w:top w:w="0" w:type="dxa"/>
              <w:bottom w:w="0" w:type="dxa"/>
            </w:tcMar>
            <w:vAlign w:val="center"/>
          </w:tcPr>
          <w:p>
            <w:pPr>
              <w:pStyle w:val="TableContents"/>
              <w:bidi w:val="0"/>
              <w:spacing w:before="0" w:after="283"/>
              <w:jc w:val="left"/>
              <w:rPr/>
            </w:pPr>
            <w:r>
              <w:rPr/>
              <w:t> </w:t>
            </w:r>
          </w:p>
        </w:tc>
        <w:tc>
          <w:tcPr>
            <w:tcW w:w="1775" w:type="dxa"/>
            <w:tcBorders>
              <w:top w:val="single" w:sz="8" w:space="0" w:color="000000"/>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December 31, 2025</w:t>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Assets</w:t>
            </w:r>
          </w:p>
        </w:tc>
        <w:tc>
          <w:tcPr>
            <w:tcW w:w="12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Current assets</w:t>
            </w:r>
          </w:p>
        </w:tc>
        <w:tc>
          <w:tcPr>
            <w:tcW w:w="12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Cash and cash equivalents</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16,329</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30,234</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Short-term investments</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21,879</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67,624</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Receivables</w:t>
            </w:r>
          </w:p>
        </w:tc>
        <w:tc>
          <w:tcPr>
            <w:tcW w:w="12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Trade, net</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71,866</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3,916</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Other</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178</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446</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Inventory</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20,245</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9,581</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Prepaid expenses and other</w:t>
            </w:r>
          </w:p>
        </w:tc>
        <w:tc>
          <w:tcPr>
            <w:tcW w:w="1280"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3,887</w:t>
              <w:tab/>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3,434</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current assets</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134,384</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115,235</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Long-term investments</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490</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2,511</w:t>
              <w:tab/>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Property, plant and equipment, net</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12,802</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13,758</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Intangible assets, net</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2,545</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3,182</w:t>
              <w:tab/>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Goodwill</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15,232</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15,232</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Right-of-use assets</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4,135</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4,679</w:t>
              <w:tab/>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assets</w:t>
            </w:r>
          </w:p>
        </w:tc>
        <w:tc>
          <w:tcPr>
            <w:tcW w:w="1280" w:type="dxa"/>
            <w:tcBorders>
              <w:bottom w:val="single" w:sz="8"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708</w:t>
              <w:tab/>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908</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assets</w:t>
            </w:r>
          </w:p>
        </w:tc>
        <w:tc>
          <w:tcPr>
            <w:tcW w:w="1280" w:type="dxa"/>
            <w:tcBorders>
              <w:bottom w:val="double" w:sz="6"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170,296</w:t>
              <w:tab/>
            </w:r>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c>
          <w:tcPr>
            <w:tcW w:w="1775" w:type="dxa"/>
            <w:tcBorders>
              <w:bottom w:val="double" w:sz="6"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155,505</w:t>
              <w:tab/>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Liabilities and Shareholders' Equity</w:t>
            </w:r>
          </w:p>
        </w:tc>
        <w:tc>
          <w:tcPr>
            <w:tcW w:w="12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Current liabilities</w:t>
            </w:r>
          </w:p>
        </w:tc>
        <w:tc>
          <w:tcPr>
            <w:tcW w:w="12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Accounts payable</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5,304</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11,985</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Accrued compensation and benefits</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6,498</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10,199</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Other accrued liabilities</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16,212</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10,993</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Indemnification accruals</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2,476</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Deferred revenue</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284</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517</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Current portion of lease liabilities</w:t>
            </w:r>
          </w:p>
        </w:tc>
        <w:tc>
          <w:tcPr>
            <w:tcW w:w="1280"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1,055</w:t>
              <w:tab/>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1,136</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current liabilities</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29,353</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37,306</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Long-term debt</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93,880</w:t>
              <w:tab/>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93,174</w:t>
              <w:tab/>
            </w:r>
          </w:p>
        </w:tc>
      </w:tr>
      <w:tr>
        <w:trPr/>
        <w:tc>
          <w:tcPr>
            <w:tcW w:w="4580" w:type="dxa"/>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Lease liabilities, net of current portion</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3,410</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3,980</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long-term liabilities</w:t>
            </w:r>
          </w:p>
        </w:tc>
        <w:tc>
          <w:tcPr>
            <w:tcW w:w="1280"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77</w:t>
              <w:tab/>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134</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liabilities</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126,720</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134,594</w:t>
              <w:tab/>
            </w:r>
          </w:p>
        </w:tc>
      </w:tr>
      <w:tr>
        <w:trPr/>
        <w:tc>
          <w:tcPr>
            <w:tcW w:w="4580" w:type="dxa"/>
            <w:tcBorders/>
            <w:shd w:fill="CCEE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Shareholders' equity</w:t>
            </w:r>
          </w:p>
        </w:tc>
        <w:tc>
          <w:tcPr>
            <w:tcW w:w="12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Additional paid-in capital</w:t>
            </w:r>
          </w:p>
        </w:tc>
        <w:tc>
          <w:tcPr>
            <w:tcW w:w="1280"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2,372,811</w:t>
              <w:tab/>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5" w:type="dxa"/>
            <w:tcBorders/>
            <w:shd w:fill="FFFF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2,362,252</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Accumulated deficit</w:t>
            </w:r>
          </w:p>
        </w:tc>
        <w:tc>
          <w:tcPr>
            <w:tcW w:w="1280"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(2,329,206)</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5" w:type="dxa"/>
            <w:tcBorders/>
            <w:shd w:fill="CCEEFF" w:val="clear"/>
            <w:tcMar>
              <w:top w:w="0" w:type="dxa"/>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(2,341,348)</w:t>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 xml:space="preserve">Accumulated other comprehensive (loss) income </w:t>
            </w:r>
          </w:p>
        </w:tc>
        <w:tc>
          <w:tcPr>
            <w:tcW w:w="1280" w:type="dxa"/>
            <w:tcBorders>
              <w:bottom w:val="single" w:sz="8"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w:t>
              <w:tab/>
            </w:r>
          </w:p>
        </w:tc>
      </w:tr>
      <w:tr>
        <w:trPr/>
        <w:tc>
          <w:tcPr>
            <w:tcW w:w="4580" w:type="dxa"/>
            <w:tcBorders/>
            <w:shd w:fill="CCEE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shareholders' equity</w:t>
            </w:r>
          </w:p>
        </w:tc>
        <w:tc>
          <w:tcPr>
            <w:tcW w:w="1280"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43,576</w:t>
              <w:tab/>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5" w:type="dxa"/>
            <w:tcBorders>
              <w:bottom w:val="single" w:sz="8" w:space="0" w:color="000000"/>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20,911</w:t>
              <w:tab/>
            </w:r>
          </w:p>
        </w:tc>
      </w:tr>
      <w:tr>
        <w:trPr/>
        <w:tc>
          <w:tcPr>
            <w:tcW w:w="4580" w:type="dxa"/>
            <w:tcBorders/>
            <w:shd w:fill="FFFFFF" w:val="clear"/>
            <w:tcMar>
              <w:top w:w="0" w:type="dxa"/>
              <w:bottom w:w="0" w:type="dxa"/>
            </w:tcMar>
            <w:vAlign w:val="center"/>
          </w:tcPr>
          <w:p>
            <w:pPr>
              <w:pStyle w:val="TableContents"/>
              <w:bidi w:val="0"/>
              <w:spacing w:before="0" w:after="283"/>
              <w:jc w:val="left"/>
              <w:rPr/>
            </w:pPr>
            <w:r>
              <w:rPr/>
              <w:t>                </w:t>
            </w:r>
            <w:r>
              <w:rPr>
                <w:rFonts w:ascii="Arial;Helvetica;Sans-Serif" w:hAnsi="Arial;Helvetica;Sans-Serif"/>
                <w:sz w:val="20"/>
              </w:rPr>
              <w:t>Total liabilities and shareholders' equity</w:t>
            </w:r>
          </w:p>
        </w:tc>
        <w:tc>
          <w:tcPr>
            <w:tcW w:w="1280" w:type="dxa"/>
            <w:tcBorders>
              <w:bottom w:val="double" w:sz="6"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170,296</w:t>
              <w:tab/>
            </w:r>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c>
          <w:tcPr>
            <w:tcW w:w="1775" w:type="dxa"/>
            <w:tcBorders>
              <w:bottom w:val="double" w:sz="6" w:space="0" w:color="000000"/>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155,505</w:t>
              <w:tab/>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drawing>
          <wp:inline distT="0" distB="0" distL="0" distR="0">
            <wp:extent cx="108585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85850" cy="5334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Precigen,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 of Operations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710" w:type="dxa"/>
        <w:jc w:val="left"/>
        <w:tblInd w:w="0" w:type="dxa"/>
        <w:tblLayout w:type="fixed"/>
        <w:tblCellMar>
          <w:top w:w="28" w:type="dxa"/>
          <w:left w:w="0" w:type="dxa"/>
          <w:bottom w:w="0" w:type="dxa"/>
          <w:right w:w="0" w:type="dxa"/>
        </w:tblCellMar>
      </w:tblPr>
      <w:tblGrid>
        <w:gridCol w:w="3995"/>
        <w:gridCol w:w="1085"/>
        <w:gridCol w:w="60"/>
        <w:gridCol w:w="1085"/>
        <w:gridCol w:w="60"/>
        <w:gridCol w:w="1085"/>
        <w:gridCol w:w="60"/>
        <w:gridCol w:w="1280"/>
      </w:tblGrid>
      <w:tr>
        <w:trPr/>
        <w:tc>
          <w:tcPr>
            <w:tcW w:w="3995" w:type="dxa"/>
            <w:tcBorders>
              <w:top w:val="single" w:sz="8" w:space="0" w:color="000000"/>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 xml:space="preserve">(Amounts in thousands, except share </w:t>
            </w:r>
          </w:p>
        </w:tc>
        <w:tc>
          <w:tcPr>
            <w:tcW w:w="2230" w:type="dxa"/>
            <w:gridSpan w:val="3"/>
            <w:tcBorders>
              <w:top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 </w:t>
            </w:r>
          </w:p>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i w:val="false"/>
                <w:caps w:val="false"/>
                <w:smallCaps w:val="false"/>
                <w:sz w:val="20"/>
              </w:rPr>
              <w:t>June 30,</w:t>
            </w:r>
          </w:p>
        </w:tc>
        <w:tc>
          <w:tcPr>
            <w:tcW w:w="60" w:type="dxa"/>
            <w:tcBorders/>
            <w:tcMar>
              <w:top w:w="0" w:type="dxa"/>
            </w:tcMar>
            <w:vAlign w:val="center"/>
          </w:tcPr>
          <w:p>
            <w:pPr>
              <w:pStyle w:val="TableContents"/>
              <w:bidi w:val="0"/>
              <w:spacing w:before="0" w:after="283"/>
              <w:jc w:val="left"/>
              <w:rPr/>
            </w:pPr>
            <w:r>
              <w:rPr/>
              <w:t> </w:t>
            </w:r>
          </w:p>
        </w:tc>
        <w:tc>
          <w:tcPr>
            <w:tcW w:w="2425" w:type="dxa"/>
            <w:gridSpan w:val="3"/>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 Months Ended </w:t>
            </w:r>
          </w:p>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i w:val="false"/>
                <w:caps w:val="false"/>
                <w:smallCaps w:val="false"/>
                <w:sz w:val="20"/>
              </w:rPr>
              <w:t>June 30,</w:t>
            </w:r>
          </w:p>
        </w:tc>
      </w:tr>
      <w:tr>
        <w:trPr/>
        <w:tc>
          <w:tcPr>
            <w:tcW w:w="3995" w:type="dxa"/>
            <w:tcBorders>
              <w:bottom w:val="single" w:sz="8" w:space="0" w:color="000000"/>
            </w:tcBorders>
            <w:tcMar>
              <w:top w:w="0" w:type="dxa"/>
              <w:bottom w:w="28" w:type="dxa"/>
            </w:tcMar>
            <w:vAlign w:val="center"/>
          </w:tcPr>
          <w:p>
            <w:pPr>
              <w:pStyle w:val="TableContents"/>
              <w:bidi w:val="0"/>
              <w:spacing w:before="0" w:after="283"/>
              <w:jc w:val="both"/>
              <w:rPr/>
            </w:pPr>
            <w:r>
              <w:rPr/>
              <w:t> </w:t>
            </w:r>
            <w:r>
              <w:rPr>
                <w:rFonts w:ascii="Arial;Helvetica;Sans-Serif" w:hAnsi="Arial;Helvetica;Sans-Serif"/>
                <w:b/>
                <w:sz w:val="20"/>
              </w:rPr>
              <w:t>and per share data)</w:t>
            </w:r>
          </w:p>
        </w:tc>
        <w:tc>
          <w:tcPr>
            <w:tcW w:w="1085"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2026</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2025</w:t>
            </w:r>
          </w:p>
        </w:tc>
        <w:tc>
          <w:tcPr>
            <w:tcW w:w="60" w:type="dxa"/>
            <w:tcBorders/>
            <w:tcMar>
              <w:top w:w="0" w:type="dxa"/>
            </w:tcMar>
            <w:vAlign w:val="center"/>
          </w:tcPr>
          <w:p>
            <w:pPr>
              <w:pStyle w:val="TableContents"/>
              <w:bidi w:val="0"/>
              <w:spacing w:before="0" w:after="283"/>
              <w:jc w:val="left"/>
              <w:rPr/>
            </w:pPr>
            <w:r>
              <w:rPr/>
              <w:t> </w:t>
            </w:r>
          </w:p>
        </w:tc>
        <w:tc>
          <w:tcPr>
            <w:tcW w:w="1085" w:type="dxa"/>
            <w:tcBorders>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2026</w:t>
            </w:r>
          </w:p>
        </w:tc>
        <w:tc>
          <w:tcPr>
            <w:tcW w:w="60" w:type="dxa"/>
            <w:tcBorders/>
            <w:tcMar>
              <w:top w:w="0" w:type="dxa"/>
            </w:tcMar>
            <w:vAlign w:val="center"/>
          </w:tcPr>
          <w:p>
            <w:pPr>
              <w:pStyle w:val="TableContents"/>
              <w:bidi w:val="0"/>
              <w:spacing w:before="0" w:after="283"/>
              <w:jc w:val="center"/>
              <w:rPr/>
            </w:pPr>
            <w:r>
              <w:rPr/>
              <w:t> </w:t>
            </w:r>
          </w:p>
        </w:tc>
        <w:tc>
          <w:tcPr>
            <w:tcW w:w="1280" w:type="dxa"/>
            <w:tcBorders>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2025</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Revenues</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80" w:type="dxa"/>
            <w:tcBorders/>
            <w:shd w:fill="CCEEFF" w:val="clear"/>
            <w:tcMar>
              <w:top w:w="0" w:type="dxa"/>
            </w:tcMar>
            <w:vAlign w:val="center"/>
          </w:tcPr>
          <w:p>
            <w:pPr>
              <w:pStyle w:val="TableContents"/>
              <w:bidi w:val="0"/>
              <w:spacing w:before="0" w:after="283"/>
              <w:jc w:val="left"/>
              <w:rPr/>
            </w:pPr>
            <w:r>
              <w:rPr/>
              <w:t> </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Product revenues, net</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53,262</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41</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75,090</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244</w:t>
              <w:tab/>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Service revenues</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1,716</w:t>
              <w:tab/>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815</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3,140</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CCEEFF" w:val="clear"/>
            <w:tcMar>
              <w:top w:w="0" w:type="dxa"/>
              <w:bottom w:w="28" w:type="dxa"/>
            </w:tcMar>
            <w:vAlign w:val="center"/>
          </w:tcPr>
          <w:p>
            <w:pPr>
              <w:pStyle w:val="TableContents"/>
              <w:bidi w:val="0"/>
              <w:spacing w:before="0" w:after="283"/>
              <w:ind w:left="0" w:right="0" w:firstLine="540"/>
              <w:jc w:val="right"/>
              <w:rPr>
                <w:rFonts w:ascii="Arial;Helvetica;Sans-Serif" w:hAnsi="Arial;Helvetica;Sans-Serif"/>
                <w:sz w:val="20"/>
              </w:rPr>
            </w:pPr>
            <w:r>
              <w:rPr>
                <w:rFonts w:ascii="Arial;Helvetica;Sans-Serif" w:hAnsi="Arial;Helvetica;Sans-Serif"/>
                <w:sz w:val="20"/>
              </w:rPr>
              <w:tab/>
              <w:t>1,953</w:t>
              <w:tab/>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Total revenues</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54,978</w:t>
              <w:tab/>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856</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78,230</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2,197</w:t>
              <w:tab/>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Operating Expenses</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pPr>
            <w:r>
              <w:rPr/>
              <w:t> </w:t>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pPr>
            <w:r>
              <w:rPr/>
              <w:t> </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Cost of products and services</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2,805</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1,092</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5,364</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2,192</w:t>
              <w:tab/>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Research and development</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7,282</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11,488</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12,920</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21,966</w:t>
              <w:tab/>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Selling, general and administrative</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22,249</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16,133</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43,298</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28,492</w:t>
              <w:tab/>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Impairment of goodwill</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3,907</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CCEEFF" w:val="clear"/>
            <w:tcMar>
              <w:top w:w="0" w:type="dxa"/>
              <w:bottom w:w="28" w:type="dxa"/>
            </w:tcMar>
            <w:vAlign w:val="center"/>
          </w:tcPr>
          <w:p>
            <w:pPr>
              <w:pStyle w:val="TableContents"/>
              <w:bidi w:val="0"/>
              <w:spacing w:before="0" w:after="283"/>
              <w:ind w:left="0" w:right="0" w:firstLine="540"/>
              <w:jc w:val="right"/>
              <w:rPr>
                <w:rFonts w:ascii="Arial;Helvetica;Sans-Serif" w:hAnsi="Arial;Helvetica;Sans-Serif"/>
                <w:sz w:val="20"/>
              </w:rPr>
            </w:pPr>
            <w:r>
              <w:rPr>
                <w:rFonts w:ascii="Arial;Helvetica;Sans-Serif" w:hAnsi="Arial;Helvetica;Sans-Serif"/>
                <w:sz w:val="20"/>
              </w:rPr>
              <w:tab/>
              <w:t>3,907</w:t>
              <w:tab/>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Total operating expenses</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32,336</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32,620</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61,582</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FFFFFF" w:val="clear"/>
            <w:tcMar>
              <w:top w:w="0" w:type="dxa"/>
              <w:bottom w:w="28" w:type="dxa"/>
            </w:tcMar>
            <w:vAlign w:val="center"/>
          </w:tcPr>
          <w:p>
            <w:pPr>
              <w:pStyle w:val="TableContents"/>
              <w:bidi w:val="0"/>
              <w:spacing w:before="0" w:after="283"/>
              <w:ind w:left="0" w:right="0" w:firstLine="540"/>
              <w:jc w:val="right"/>
              <w:rPr>
                <w:rFonts w:ascii="Arial;Helvetica;Sans-Serif" w:hAnsi="Arial;Helvetica;Sans-Serif"/>
                <w:sz w:val="20"/>
              </w:rPr>
            </w:pPr>
            <w:r>
              <w:rPr>
                <w:rFonts w:ascii="Arial;Helvetica;Sans-Serif" w:hAnsi="Arial;Helvetica;Sans-Serif"/>
                <w:sz w:val="20"/>
              </w:rPr>
              <w:tab/>
              <w:t>56,557</w:t>
              <w:tab/>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Operating income (loss)</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22,642</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(31,764)</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16,648</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(54,360)</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Other Income (Expense), Net</w:t>
            </w:r>
          </w:p>
        </w:tc>
        <w:tc>
          <w:tcPr>
            <w:tcW w:w="108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pPr>
            <w:r>
              <w:rPr/>
              <w:t> </w:t>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pPr>
            <w:r>
              <w:rPr/>
              <w:t> </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Change in fair value of warrant liabilities</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4,460</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(28,021)</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Interest expense</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(2,953)</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(5,861)</w:t>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Interest income</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366</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696</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1,049</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1,614</w:t>
              <w:tab/>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Other income (expense), net</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16</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(31)</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306</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FFFFFF" w:val="clear"/>
            <w:tcMar>
              <w:top w:w="0" w:type="dxa"/>
              <w:bottom w:w="28" w:type="dxa"/>
            </w:tcMar>
            <w:vAlign w:val="center"/>
          </w:tcPr>
          <w:p>
            <w:pPr>
              <w:pStyle w:val="TableContents"/>
              <w:bidi w:val="0"/>
              <w:spacing w:before="0" w:after="283"/>
              <w:ind w:left="0" w:right="0" w:firstLine="540"/>
              <w:jc w:val="right"/>
              <w:rPr>
                <w:rFonts w:ascii="Arial;Helvetica;Sans-Serif" w:hAnsi="Arial;Helvetica;Sans-Serif"/>
                <w:sz w:val="20"/>
              </w:rPr>
            </w:pPr>
            <w:r>
              <w:rPr>
                <w:rFonts w:ascii="Arial;Helvetica;Sans-Serif" w:hAnsi="Arial;Helvetica;Sans-Serif"/>
                <w:sz w:val="20"/>
              </w:rPr>
              <w:tab/>
              <w:t>(24)</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Total other income (expense), net</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(2,571)</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5,125</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(4,506)</w:t>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CCEEFF" w:val="clear"/>
            <w:tcMar>
              <w:top w:w="0" w:type="dxa"/>
              <w:bottom w:w="28" w:type="dxa"/>
            </w:tcMar>
            <w:vAlign w:val="center"/>
          </w:tcPr>
          <w:p>
            <w:pPr>
              <w:pStyle w:val="TableContents"/>
              <w:bidi w:val="0"/>
              <w:spacing w:before="0" w:after="283"/>
              <w:ind w:left="0" w:right="0" w:firstLine="540"/>
              <w:jc w:val="right"/>
              <w:rPr>
                <w:rFonts w:ascii="Arial;Helvetica;Sans-Serif" w:hAnsi="Arial;Helvetica;Sans-Serif"/>
                <w:sz w:val="20"/>
              </w:rPr>
            </w:pPr>
            <w:r>
              <w:rPr>
                <w:rFonts w:ascii="Arial;Helvetica;Sans-Serif" w:hAnsi="Arial;Helvetica;Sans-Serif"/>
                <w:sz w:val="20"/>
              </w:rPr>
              <w:tab/>
              <w:t>(26,432)</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Income (loss) before income taxes</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20,071</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(26,639)</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12,142</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shd w:fill="FFFFFF" w:val="clear"/>
            <w:tcMar>
              <w:top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(80,792)</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Income tax expense</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bottom w:val="single" w:sz="8" w:space="0" w:color="000000"/>
            </w:tcBorders>
            <w:shd w:fill="CCEEFF" w:val="clear"/>
            <w:tcMar>
              <w:top w:w="0" w:type="dxa"/>
              <w:bottom w:w="28" w:type="dxa"/>
            </w:tcMar>
            <w:vAlign w:val="center"/>
          </w:tcPr>
          <w:p>
            <w:pPr>
              <w:pStyle w:val="TableContents"/>
              <w:bidi w:val="0"/>
              <w:spacing w:before="0" w:after="283"/>
              <w:ind w:left="0" w:right="0" w:firstLine="522"/>
              <w:jc w:val="right"/>
              <w:rPr>
                <w:rFonts w:ascii="Arial;Helvetica;Sans-Serif" w:hAnsi="Arial;Helvetica;Sans-Serif"/>
                <w:sz w:val="20"/>
              </w:rPr>
            </w:pPr>
            <w:r>
              <w:rPr>
                <w:rFonts w:ascii="Arial;Helvetica;Sans-Serif" w:hAnsi="Arial;Helvetica;Sans-Serif"/>
                <w:sz w:val="20"/>
              </w:rPr>
              <w:tab/>
              <w:t>(3)</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Net income (loss)</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20,071</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(26,642)</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12,142</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(80,795)</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Net income (loss) per share</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shd w:fill="CCEEFF" w:val="clear"/>
            <w:tcMar>
              <w:top w:w="0" w:type="dxa"/>
            </w:tcMar>
            <w:vAlign w:val="center"/>
          </w:tcPr>
          <w:p>
            <w:pPr>
              <w:pStyle w:val="TableContents"/>
              <w:bidi w:val="0"/>
              <w:spacing w:before="0" w:after="283"/>
              <w:jc w:val="right"/>
              <w:rPr/>
            </w:pPr>
            <w:r>
              <w:rPr/>
              <w:t> </w:t>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shd w:fill="CCEEFF" w:val="clear"/>
            <w:tcMar>
              <w:top w:w="0" w:type="dxa"/>
            </w:tcMar>
            <w:vAlign w:val="center"/>
          </w:tcPr>
          <w:p>
            <w:pPr>
              <w:pStyle w:val="TableContents"/>
              <w:bidi w:val="0"/>
              <w:spacing w:before="0" w:after="283"/>
              <w:jc w:val="right"/>
              <w:rPr/>
            </w:pPr>
            <w:r>
              <w:rPr/>
              <w:t> </w:t>
            </w:r>
          </w:p>
        </w:tc>
      </w:tr>
      <w:tr>
        <w:trPr/>
        <w:tc>
          <w:tcPr>
            <w:tcW w:w="3995" w:type="dxa"/>
            <w:tcBorders/>
            <w:shd w:fill="FFFF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Net income (loss) per share, basic</w:t>
            </w:r>
          </w:p>
        </w:tc>
        <w:tc>
          <w:tcPr>
            <w:tcW w:w="1085" w:type="dxa"/>
            <w:tcBorders>
              <w:bottom w:val="double" w:sz="4"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0.06</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4"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(0.09)</w:t>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4"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0.03</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double" w:sz="4"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(0.27)</w:t>
            </w:r>
          </w:p>
        </w:tc>
      </w:tr>
      <w:tr>
        <w:trPr/>
        <w:tc>
          <w:tcPr>
            <w:tcW w:w="3995" w:type="dxa"/>
            <w:tcBorders/>
            <w:shd w:fill="CCEEFF" w:val="clear"/>
            <w:tcMar>
              <w:top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Net income (loss) per share, diluted</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0.05</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(0.09)</w:t>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0.03</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280"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tab/>
              <w:t>(0.27)</w:t>
            </w:r>
          </w:p>
        </w:tc>
      </w:tr>
      <w:tr>
        <w:trPr/>
        <w:tc>
          <w:tcPr>
            <w:tcW w:w="3995" w:type="dxa"/>
            <w:tcBorders/>
            <w:shd w:fill="FFFFFF" w:val="clear"/>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Weighted average shares outstanding, basic</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356,893,568</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296,434,726</w:t>
              <w:tab/>
            </w:r>
          </w:p>
        </w:tc>
        <w:tc>
          <w:tcPr>
            <w:tcW w:w="60" w:type="dxa"/>
            <w:tcBorders/>
            <w:shd w:fill="FFFF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355,599,477</w:t>
              <w:tab/>
            </w:r>
          </w:p>
        </w:tc>
        <w:tc>
          <w:tcPr>
            <w:tcW w:w="60" w:type="dxa"/>
            <w:tcBorders/>
            <w:shd w:fill="FFFFFF" w:val="clear"/>
            <w:tcMar>
              <w:top w:w="0" w:type="dxa"/>
            </w:tcMar>
            <w:vAlign w:val="center"/>
          </w:tcPr>
          <w:p>
            <w:pPr>
              <w:pStyle w:val="TableContents"/>
              <w:bidi w:val="0"/>
              <w:spacing w:before="0" w:after="283"/>
              <w:jc w:val="right"/>
              <w:rPr/>
            </w:pPr>
            <w:r>
              <w:rPr/>
              <w:t> </w:t>
            </w:r>
          </w:p>
        </w:tc>
        <w:tc>
          <w:tcPr>
            <w:tcW w:w="1280" w:type="dxa"/>
            <w:tcBorders>
              <w:bottom w:val="double" w:sz="6" w:space="0" w:color="000000"/>
            </w:tcBorders>
            <w:shd w:fill="FFFF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295,164,303</w:t>
              <w:tab/>
            </w:r>
          </w:p>
        </w:tc>
      </w:tr>
      <w:tr>
        <w:trPr/>
        <w:tc>
          <w:tcPr>
            <w:tcW w:w="3995" w:type="dxa"/>
            <w:tcBorders/>
            <w:shd w:fill="CCEEFF" w:val="clear"/>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Weighted average shares outstanding, diluted</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413,686,865</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296,434,726</w:t>
              <w:tab/>
            </w:r>
          </w:p>
        </w:tc>
        <w:tc>
          <w:tcPr>
            <w:tcW w:w="60" w:type="dxa"/>
            <w:tcBorders/>
            <w:shd w:fill="CCEEFF" w:val="clear"/>
            <w:tcMar>
              <w:top w:w="0"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412,552,647</w:t>
              <w:tab/>
            </w:r>
          </w:p>
        </w:tc>
        <w:tc>
          <w:tcPr>
            <w:tcW w:w="60" w:type="dxa"/>
            <w:tcBorders/>
            <w:shd w:fill="CCEEFF" w:val="clear"/>
            <w:tcMar>
              <w:top w:w="0" w:type="dxa"/>
            </w:tcMar>
            <w:vAlign w:val="center"/>
          </w:tcPr>
          <w:p>
            <w:pPr>
              <w:pStyle w:val="TableContents"/>
              <w:bidi w:val="0"/>
              <w:spacing w:before="0" w:after="283"/>
              <w:jc w:val="right"/>
              <w:rPr/>
            </w:pPr>
            <w:r>
              <w:rPr/>
              <w:t> </w:t>
            </w:r>
          </w:p>
        </w:tc>
        <w:tc>
          <w:tcPr>
            <w:tcW w:w="1280" w:type="dxa"/>
            <w:tcBorders>
              <w:bottom w:val="double" w:sz="6" w:space="0" w:color="000000"/>
            </w:tcBorders>
            <w:shd w:fill="CCEEFF" w:val="clear"/>
            <w:tcMar>
              <w:top w:w="0" w:type="dxa"/>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ab/>
              <w:t>295,164,303</w:t>
              <w:tab/>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3070</Words>
  <Characters>17773</Characters>
  <CharactersWithSpaces>21169</CharactersWithSpaces>
  <Paragraphs>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