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Precigen,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Ares Trading SA</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17,467,152.00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This percentage is based upon a denominator of 358,035,247 shares of Common Stock outstanding as of July 31, 2026 as reported on the cover page of the Issuer's Quarterly Report on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71"/>
        <w:gridCol w:w="7934"/>
      </w:tblGrid>
      <w:tr>
        <w:trPr/>
        <w:tc>
          <w:tcPr>
            <w:tcW w:w="2271" w:type="dxa"/>
            <w:tcBorders/>
            <w:vAlign w:val="center"/>
          </w:tcPr>
          <w:p>
            <w:pPr>
              <w:pStyle w:val="TableContents"/>
              <w:bidi w:val="0"/>
              <w:spacing w:before="0" w:after="283"/>
              <w:jc w:val="left"/>
              <w:rPr/>
            </w:pPr>
            <w:r>
              <w:rPr/>
              <w:t>1</w:t>
            </w:r>
          </w:p>
        </w:tc>
        <w:tc>
          <w:tcPr>
            <w:tcW w:w="793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Merck Serono SA, Aubonne, Switzerland, an affiliate of Merck KGaA, Darmstadt</w:t>
            </w:r>
          </w:p>
        </w:tc>
      </w:tr>
      <w:tr>
        <w:trPr/>
        <w:tc>
          <w:tcPr>
            <w:tcW w:w="2271" w:type="dxa"/>
            <w:tcBorders/>
            <w:vAlign w:val="center"/>
          </w:tcPr>
          <w:p>
            <w:pPr>
              <w:pStyle w:val="TableContents"/>
              <w:bidi w:val="0"/>
              <w:spacing w:before="0" w:after="283"/>
              <w:jc w:val="left"/>
              <w:rPr/>
            </w:pPr>
            <w:r>
              <w:rPr/>
              <w:t>2</w:t>
            </w:r>
          </w:p>
        </w:tc>
        <w:tc>
          <w:tcPr>
            <w:tcW w:w="793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71" w:type="dxa"/>
            <w:tcBorders/>
            <w:vAlign w:val="center"/>
          </w:tcPr>
          <w:p>
            <w:pPr>
              <w:pStyle w:val="TableContents"/>
              <w:bidi w:val="0"/>
              <w:spacing w:before="0" w:after="283"/>
              <w:jc w:val="left"/>
              <w:rPr/>
            </w:pPr>
            <w:r>
              <w:rPr/>
              <w:t>3</w:t>
            </w:r>
          </w:p>
        </w:tc>
        <w:tc>
          <w:tcPr>
            <w:tcW w:w="7934" w:type="dxa"/>
            <w:tcBorders/>
            <w:vAlign w:val="center"/>
          </w:tcPr>
          <w:p>
            <w:pPr>
              <w:pStyle w:val="TableContents"/>
              <w:bidi w:val="0"/>
              <w:spacing w:before="0" w:after="283"/>
              <w:jc w:val="left"/>
              <w:rPr/>
            </w:pPr>
            <w:r>
              <w:rPr/>
              <w:t>Sec Use Only</w:t>
            </w:r>
          </w:p>
        </w:tc>
      </w:tr>
      <w:tr>
        <w:trPr/>
        <w:tc>
          <w:tcPr>
            <w:tcW w:w="2271" w:type="dxa"/>
            <w:tcBorders/>
            <w:vAlign w:val="center"/>
          </w:tcPr>
          <w:p>
            <w:pPr>
              <w:pStyle w:val="TableContents"/>
              <w:bidi w:val="0"/>
              <w:spacing w:before="0" w:after="283"/>
              <w:jc w:val="left"/>
              <w:rPr/>
            </w:pPr>
            <w:r>
              <w:rPr/>
              <w:t>4</w:t>
            </w:r>
          </w:p>
        </w:tc>
        <w:tc>
          <w:tcPr>
            <w:tcW w:w="793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227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4" w:type="dxa"/>
            <w:tcBorders/>
            <w:vAlign w:val="center"/>
          </w:tcPr>
          <w:p>
            <w:pPr>
              <w:pStyle w:val="TableContents"/>
              <w:bidi w:val="0"/>
              <w:spacing w:before="0" w:after="283"/>
              <w:jc w:val="left"/>
              <w:rPr>
                <w:sz w:val="4"/>
                <w:szCs w:val="4"/>
              </w:rPr>
            </w:pPr>
            <w:r>
              <w:rPr>
                <w:sz w:val="4"/>
                <w:szCs w:val="4"/>
              </w:rPr>
            </w:r>
          </w:p>
        </w:tc>
      </w:tr>
      <w:tr>
        <w:trPr/>
        <w:tc>
          <w:tcPr>
            <w:tcW w:w="2271" w:type="dxa"/>
            <w:tcBorders/>
            <w:vAlign w:val="center"/>
          </w:tcPr>
          <w:p>
            <w:pPr>
              <w:pStyle w:val="TableContents"/>
              <w:bidi w:val="0"/>
              <w:spacing w:before="0" w:after="283"/>
              <w:jc w:val="left"/>
              <w:rPr/>
            </w:pPr>
            <w:r>
              <w:rPr/>
              <w:t>9</w:t>
            </w:r>
          </w:p>
        </w:tc>
        <w:tc>
          <w:tcPr>
            <w:tcW w:w="793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17,467,152.00</w:t>
            </w:r>
          </w:p>
        </w:tc>
      </w:tr>
      <w:tr>
        <w:trPr/>
        <w:tc>
          <w:tcPr>
            <w:tcW w:w="2271" w:type="dxa"/>
            <w:tcBorders/>
            <w:vAlign w:val="center"/>
          </w:tcPr>
          <w:p>
            <w:pPr>
              <w:pStyle w:val="TableContents"/>
              <w:bidi w:val="0"/>
              <w:spacing w:before="0" w:after="283"/>
              <w:jc w:val="left"/>
              <w:rPr/>
            </w:pPr>
            <w:r>
              <w:rPr/>
              <w:t>10</w:t>
            </w:r>
          </w:p>
        </w:tc>
        <w:tc>
          <w:tcPr>
            <w:tcW w:w="793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71" w:type="dxa"/>
            <w:tcBorders/>
            <w:vAlign w:val="center"/>
          </w:tcPr>
          <w:p>
            <w:pPr>
              <w:pStyle w:val="TableContents"/>
              <w:bidi w:val="0"/>
              <w:spacing w:before="0" w:after="283"/>
              <w:jc w:val="left"/>
              <w:rPr/>
            </w:pPr>
            <w:r>
              <w:rPr/>
              <w:t>11</w:t>
            </w:r>
          </w:p>
        </w:tc>
        <w:tc>
          <w:tcPr>
            <w:tcW w:w="793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271" w:type="dxa"/>
            <w:tcBorders/>
            <w:vAlign w:val="center"/>
          </w:tcPr>
          <w:p>
            <w:pPr>
              <w:pStyle w:val="TableContents"/>
              <w:bidi w:val="0"/>
              <w:spacing w:before="0" w:after="283"/>
              <w:jc w:val="left"/>
              <w:rPr/>
            </w:pPr>
            <w:r>
              <w:rPr/>
              <w:t>12</w:t>
            </w:r>
          </w:p>
        </w:tc>
        <w:tc>
          <w:tcPr>
            <w:tcW w:w="793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This percentage is based upon a denominator of 358,035,247 shares of Common Stock outstanding as of July 31, 2026 as reported on the cover page of the Issuer's Quarterly Report on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Merck KGaA, Darmstadt, Germany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17,467,152.00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This percentage is based upon a denominator of 358,035,247 shares of Common Stock outstanding as of July 31, 2026 as reported on the cover page of the Issuer's Quarterly Report on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E. Merck KG, Darmstadt Germany</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17,467,152.00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17,467,152.00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Note to Row 11: This percentage is based upon a denominator of 358,035,247 shares of Common Stock outstanding as of July 31, 2026 as reported on the cover page of the Issuer's Quarterly Report on Form 10-Q for the quarterly period ended June 30, 2026 filed with the Securities and Exchange Commission on August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1"/>
        <w:gridCol w:w="8919"/>
        <w:gridCol w:w="155"/>
      </w:tblGrid>
      <w:tr>
        <w:trPr/>
        <w:tc>
          <w:tcPr>
            <w:tcW w:w="1131" w:type="dxa"/>
            <w:tcBorders/>
            <w:vAlign w:val="center"/>
          </w:tcPr>
          <w:p>
            <w:pPr>
              <w:pStyle w:val="TableContents"/>
              <w:bidi w:val="0"/>
              <w:spacing w:before="0" w:after="283"/>
              <w:jc w:val="left"/>
              <w:rPr/>
            </w:pPr>
            <w:r>
              <w:rPr/>
              <w:t>Item 1.</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issuer: </w:t>
            </w:r>
          </w:p>
          <w:p>
            <w:pPr>
              <w:pStyle w:val="TableContents"/>
              <w:bidi w:val="0"/>
              <w:spacing w:before="0" w:after="0"/>
              <w:jc w:val="left"/>
              <w:rPr/>
            </w:pPr>
            <w:r>
              <w:rPr/>
              <w:t>Precigen, Inc.</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20374 Seneca Meadows Parkway, Germantown, Maryland, 20876</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2.</w:t>
            </w:r>
          </w:p>
        </w:tc>
        <w:tc>
          <w:tcPr>
            <w:tcW w:w="891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each of the following persons (each, a "Reporting Person" and together, the "Reporting Persons"): Ares Trading SA Merck Serono SA, Coinsins, Switzerland, an affiliate of Merck KGaA, Darmstadt, Germany Merck KGaA, Darmstadt, Germany E.Merck KG, Darmstadt, Germany The Reporting Persons have entered into a Joint Filing Agreement, a copy of which is filed with this Schedule 13G as Exhibit 99.1, pursuant to which the Reporting Persons have agreed to file this Schedule 13G jointly in accordance with the provisions of Rule 13d-1(k)(l) of the Securities Exchange Act of 1934, as amended.</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Ares Trading SA: Zone Industrielle de l'Outriettaz, 1170 Aubonne, Switzerland Merck Serono SA, Aubonne, Switzerland, an affiliate of Merck KGaA, Darmstadt, Germany Merck KGaA: Frankfurter Strasse 250, 64293 Darmstadt, Germany E. Merck KG: Emanuel-Merck-Platz 1, 64293 Darmstadt, Germany</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Persons Ares Trading SA and Merck Serono SA Coinsins, Switzerland, an affiliate of Merck KGaA, Darmstadt, Germany are organized in Switzerland. The Reporting Persons Merck KGaA and E. Merck KG are organized in Darmstadt, Germany.</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3.</w:t>
            </w:r>
          </w:p>
        </w:tc>
        <w:tc>
          <w:tcPr>
            <w:tcW w:w="891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(d)</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(e)</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(f)</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(g)</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(h)</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(j)</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(k)</w:t>
            </w:r>
          </w:p>
        </w:tc>
        <w:tc>
          <w:tcPr>
            <w:tcW w:w="891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9074" w:type="dxa"/>
            <w:gridSpan w:val="2"/>
            <w:tcBorders/>
            <w:vAlign w:val="center"/>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4.</w:t>
            </w:r>
          </w:p>
        </w:tc>
        <w:tc>
          <w:tcPr>
            <w:tcW w:w="891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(a)</w:t>
            </w:r>
          </w:p>
        </w:tc>
        <w:tc>
          <w:tcPr>
            <w:tcW w:w="891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17,467,152</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(b)</w:t>
            </w:r>
          </w:p>
        </w:tc>
        <w:tc>
          <w:tcPr>
            <w:tcW w:w="891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(c)</w:t>
            </w:r>
          </w:p>
        </w:tc>
        <w:tc>
          <w:tcPr>
            <w:tcW w:w="891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17,467,152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17,467,152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5.</w:t>
            </w:r>
          </w:p>
        </w:tc>
        <w:tc>
          <w:tcPr>
            <w:tcW w:w="891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6.</w:t>
            </w:r>
          </w:p>
        </w:tc>
        <w:tc>
          <w:tcPr>
            <w:tcW w:w="891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7.</w:t>
            </w:r>
          </w:p>
        </w:tc>
        <w:tc>
          <w:tcPr>
            <w:tcW w:w="891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8.</w:t>
            </w:r>
          </w:p>
        </w:tc>
        <w:tc>
          <w:tcPr>
            <w:tcW w:w="891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Item 9.</w:t>
            </w:r>
          </w:p>
        </w:tc>
        <w:tc>
          <w:tcPr>
            <w:tcW w:w="891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1" w:type="dxa"/>
            <w:tcBorders/>
            <w:vAlign w:val="center"/>
          </w:tcPr>
          <w:p>
            <w:pPr>
              <w:pStyle w:val="TableContents"/>
              <w:bidi w:val="0"/>
              <w:spacing w:before="0" w:after="283"/>
              <w:jc w:val="left"/>
              <w:rPr/>
            </w:pPr>
            <w:r>
              <w:rPr/>
              <w:t> </w:t>
            </w:r>
          </w:p>
        </w:tc>
        <w:tc>
          <w:tcPr>
            <w:tcW w:w="891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Ares Trading SA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Florence Jolidon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Florence Jolidon / Board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Prisca von Ballmoos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Prisca von Ballmoos / Registered Proxy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69"/>
        <w:gridCol w:w="4936"/>
      </w:tblGrid>
      <w:tr>
        <w:trPr/>
        <w:tc>
          <w:tcPr>
            <w:tcW w:w="5269" w:type="dxa"/>
            <w:tcBorders/>
            <w:vAlign w:val="center"/>
          </w:tcPr>
          <w:p>
            <w:pPr>
              <w:pStyle w:val="TableContents"/>
              <w:bidi w:val="0"/>
              <w:spacing w:before="0" w:after="0"/>
              <w:jc w:val="left"/>
              <w:rPr/>
            </w:pPr>
            <w:r>
              <w:rPr/>
              <w:t> </w:t>
            </w:r>
          </w:p>
          <w:tbl>
            <w:tblPr>
              <w:tblW w:w="7981" w:type="dxa"/>
              <w:jc w:val="left"/>
              <w:tblInd w:w="0" w:type="dxa"/>
              <w:tblLayout w:type="fixed"/>
              <w:tblCellMar>
                <w:top w:w="28" w:type="dxa"/>
                <w:left w:w="28" w:type="dxa"/>
                <w:bottom w:w="28" w:type="dxa"/>
                <w:right w:w="28" w:type="dxa"/>
              </w:tblCellMar>
            </w:tblPr>
            <w:tblGrid>
              <w:gridCol w:w="7981"/>
            </w:tblGrid>
            <w:tr>
              <w:trPr/>
              <w:tc>
                <w:tcPr>
                  <w:tcW w:w="7981" w:type="dxa"/>
                  <w:tcBorders/>
                  <w:vAlign w:val="center"/>
                </w:tcPr>
                <w:p>
                  <w:pPr>
                    <w:pStyle w:val="TableContents"/>
                    <w:bidi w:val="0"/>
                    <w:spacing w:before="0" w:after="0"/>
                    <w:jc w:val="left"/>
                    <w:rPr/>
                  </w:pPr>
                  <w:r>
                    <w:rPr/>
                    <w:t>Merck Serono SA, Aubonne, Switzerland, an affiliate of Merck KGaA, Darmstadt</w:t>
                  </w:r>
                </w:p>
              </w:tc>
            </w:tr>
          </w:tbl>
          <w:p>
            <w:pPr>
              <w:pStyle w:val="TableContents"/>
              <w:bidi w:val="0"/>
              <w:spacing w:before="0" w:after="283"/>
              <w:jc w:val="left"/>
              <w:rPr/>
            </w:pPr>
            <w:r>
              <w:rPr/>
            </w:r>
          </w:p>
        </w:tc>
        <w:tc>
          <w:tcPr>
            <w:tcW w:w="49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6"/>
        <w:gridCol w:w="4389"/>
      </w:tblGrid>
      <w:tr>
        <w:trPr/>
        <w:tc>
          <w:tcPr>
            <w:tcW w:w="581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Florence Jolidon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Florence Jolidon / Board Member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0"/>
        <w:gridCol w:w="4275"/>
      </w:tblGrid>
      <w:tr>
        <w:trPr/>
        <w:tc>
          <w:tcPr>
            <w:tcW w:w="59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Prisca von Ballmoos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Prisca von Ballmoos / Registered Proxy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75"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Merck KGaA, Darmstadt, Germany</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Katharina Kneisel</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Katharina Kneisel / Registered Proxy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Abhira Gonge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Abhira Gonge / Registered Proxy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E. Merck KG, Darmstadt Germany</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Kristin Eibisch</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Kristin Eibisch / Attorney in Fact</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Clemens Canel</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Clemens Canel / Attorney in Fact</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Power of attorney for signatories signing as Attorney in Fact included in Exhibit 99.1 page 2</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both"/>
        <w:rPr>
          <w:caps w:val="false"/>
          <w:smallCaps w:val="false"/>
        </w:rPr>
      </w:pPr>
      <w:bookmarkStart w:id="28" w:name="tm2622175d1_ex99-1.htm"/>
      <w:bookmarkStart w:id="29" w:name="kstm2622175d1_ex991"/>
      <w:bookmarkEnd w:id="28"/>
      <w:bookmarkEnd w:id="2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13d-1(k)(1) of the Securities Exchange Act of 1934, as amended, each of the undersigned agrees to the joint filing on behalf of each of them of the Statement on Schedule 13G filed herewith (and any amendments thereto), relating to the share capital of Precigen,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Joint Filing Agreement may be executed in counterparts and each of such counterparts taken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Darmstadt, 6 August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60" w:type="dxa"/>
          <w:bottom w:w="0" w:type="dxa"/>
          <w:right w:w="0" w:type="dxa"/>
        </w:tblCellMar>
      </w:tblPr>
      <w:tblGrid>
        <w:gridCol w:w="5042"/>
        <w:gridCol w:w="60"/>
        <w:gridCol w:w="60"/>
        <w:gridCol w:w="5043"/>
      </w:tblGrid>
      <w:tr>
        <w:trPr/>
        <w:tc>
          <w:tcPr>
            <w:tcW w:w="5042"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60" w:type="dxa"/>
            <w:tcBorders>
              <w:top w:val="single" w:sz="8" w:space="0" w:color="000000"/>
              <w:right w:val="single" w:sz="8" w:space="0" w:color="000000"/>
            </w:tcBorders>
            <w:tcMar>
              <w:left w:w="0" w:type="dxa"/>
              <w:right w:w="28" w:type="dxa"/>
            </w:tcMar>
            <w:vAlign w:val="center"/>
          </w:tcPr>
          <w:p>
            <w:pPr>
              <w:pStyle w:val="TableContents"/>
              <w:bidi w:val="0"/>
              <w:spacing w:before="0" w:after="283"/>
              <w:jc w:val="left"/>
              <w:rPr/>
            </w:pPr>
            <w:r>
              <w:rPr/>
              <w:t> </w:t>
            </w:r>
          </w:p>
        </w:tc>
        <w:tc>
          <w:tcPr>
            <w:tcW w:w="60" w:type="dxa"/>
            <w:tcBorders>
              <w:top w:val="single" w:sz="8" w:space="0" w:color="000000"/>
            </w:tcBorders>
            <w:tcMar>
              <w:left w:w="0" w:type="dxa"/>
            </w:tcMar>
            <w:vAlign w:val="center"/>
          </w:tcPr>
          <w:p>
            <w:pPr>
              <w:pStyle w:val="TableContents"/>
              <w:bidi w:val="0"/>
              <w:spacing w:before="0" w:after="283"/>
              <w:jc w:val="left"/>
              <w:rPr/>
            </w:pPr>
            <w:r>
              <w:rPr/>
              <w:t> </w:t>
            </w:r>
          </w:p>
        </w:tc>
        <w:tc>
          <w:tcPr>
            <w:tcW w:w="5043" w:type="dxa"/>
            <w:tcBorders>
              <w:top w:val="single" w:sz="8" w:space="0" w:color="000000"/>
              <w:right w:val="single" w:sz="8" w:space="0" w:color="000000"/>
            </w:tcBorders>
            <w:tcMar>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b/>
              </w:rPr>
            </w:pPr>
            <w:r>
              <w:rPr>
                <w:b/>
              </w:rPr>
              <w:t>ARES TRADING SA</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b/>
              </w:rPr>
            </w:pPr>
            <w:r>
              <w:rPr>
                <w:b/>
              </w:rPr>
              <w:t>ARES TRADING SA</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By: /s/ Florence Jolidon</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By: /s/ Prisca von Ballmoos</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Name: Florence Jolidon</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Name: Prisca von Ballmoos</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Title: Board Member</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Title: Registered Proxy</w:t>
            </w:r>
          </w:p>
        </w:tc>
      </w:tr>
      <w:tr>
        <w:trPr/>
        <w:tc>
          <w:tcPr>
            <w:tcW w:w="5042"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5043"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b/>
              </w:rPr>
            </w:pPr>
            <w:r>
              <w:rPr>
                <w:b/>
              </w:rPr>
              <w:t>MERCK SERONO SA, AUBONNE, SWITZERLAND, AN AFFILIATE OF MERCK KGAA, DARMSTADT, GERMANY</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b/>
              </w:rPr>
            </w:pPr>
            <w:r>
              <w:rPr>
                <w:b/>
              </w:rPr>
              <w:t>MERCK SERONO SA, AUBONNE, SWITZERLAND, AN AFFILIATE OF MERCK KGAA, DARMSTADT, GERMANY</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By: /s/ Florence Jolidon</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By: /s/ Prisca von Ballmoos</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Name: Florence Jolidon</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Name: Prisca von Ballmoos</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Title: Board Member</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Title: Registered Proxy</w:t>
            </w:r>
          </w:p>
        </w:tc>
      </w:tr>
      <w:tr>
        <w:trPr/>
        <w:tc>
          <w:tcPr>
            <w:tcW w:w="5042"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5043"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b/>
              </w:rPr>
            </w:pPr>
            <w:r>
              <w:rPr>
                <w:b/>
              </w:rPr>
              <w:t>MERCK KGAA, DARMSTADT, GERMANY</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b/>
              </w:rPr>
            </w:pPr>
            <w:r>
              <w:rPr>
                <w:b/>
              </w:rPr>
              <w:t>MERCK KGAA, DARMSTADT, GERMANY</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By: /s/ Katharina Kneisel</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By: /s/ Abhira Gonge</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Name: Katharina Kneisel</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Name: Abhira Gonge</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Title: Registered Proxy</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Title: Registered Proxy</w:t>
            </w:r>
          </w:p>
        </w:tc>
      </w:tr>
      <w:tr>
        <w:trPr/>
        <w:tc>
          <w:tcPr>
            <w:tcW w:w="5042"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5043"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b/>
              </w:rPr>
            </w:pPr>
            <w:r>
              <w:rPr>
                <w:b/>
              </w:rPr>
              <w:t>E.MERCK KG, DARMSTADT, GERMANY</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b/>
              </w:rPr>
            </w:pPr>
            <w:r>
              <w:rPr>
                <w:b/>
              </w:rPr>
              <w:t>E.MERCK KG, DARMSTADT, GERMANY</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 </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 </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By: /s/ Kristin Eibisch</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By: /s/ Clemens Canel</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Name: Kristin Eibisch</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Name: Clemens Canel</w:t>
            </w:r>
          </w:p>
        </w:tc>
      </w:tr>
      <w:tr>
        <w:trPr/>
        <w:tc>
          <w:tcPr>
            <w:tcW w:w="5042" w:type="dxa"/>
            <w:tcBorders>
              <w:left w:val="single" w:sz="8" w:space="0" w:color="000000"/>
            </w:tcBorders>
            <w:tcMar>
              <w:top w:w="0" w:type="dxa"/>
            </w:tcMar>
            <w:vAlign w:val="center"/>
          </w:tcPr>
          <w:p>
            <w:pPr>
              <w:pStyle w:val="TableContents"/>
              <w:bidi w:val="0"/>
              <w:spacing w:before="0" w:after="283"/>
              <w:jc w:val="left"/>
              <w:rPr/>
            </w:pPr>
            <w:r>
              <w:rPr/>
              <w:t>Title: Attorney in Fact per attached power of attorney</w:t>
            </w:r>
          </w:p>
        </w:tc>
        <w:tc>
          <w:tcPr>
            <w:tcW w:w="60" w:type="dxa"/>
            <w:tcBorders>
              <w:right w:val="single" w:sz="8" w:space="0" w:color="000000"/>
            </w:tcBorders>
            <w:tcMar>
              <w:top w:w="0" w:type="dxa"/>
              <w:left w:w="0" w:type="dxa"/>
              <w:right w:w="28" w:type="dxa"/>
            </w:tcMar>
            <w:vAlign w:val="center"/>
          </w:tcPr>
          <w:p>
            <w:pPr>
              <w:pStyle w:val="TableContents"/>
              <w:bidi w:val="0"/>
              <w:spacing w:before="0" w:after="283"/>
              <w:jc w:val="left"/>
              <w:rPr/>
            </w:pPr>
            <w:r>
              <w:rPr/>
              <w:t> </w:t>
            </w:r>
          </w:p>
        </w:tc>
        <w:tc>
          <w:tcPr>
            <w:tcW w:w="60" w:type="dxa"/>
            <w:tcBorders/>
            <w:tcMar>
              <w:top w:w="0" w:type="dxa"/>
              <w:left w:w="0" w:type="dxa"/>
            </w:tcMar>
            <w:vAlign w:val="center"/>
          </w:tcPr>
          <w:p>
            <w:pPr>
              <w:pStyle w:val="TableContents"/>
              <w:bidi w:val="0"/>
              <w:spacing w:before="0" w:after="283"/>
              <w:jc w:val="left"/>
              <w:rPr/>
            </w:pPr>
            <w:r>
              <w:rPr/>
              <w:t> </w:t>
            </w:r>
          </w:p>
        </w:tc>
        <w:tc>
          <w:tcPr>
            <w:tcW w:w="5043" w:type="dxa"/>
            <w:tcBorders>
              <w:right w:val="single" w:sz="8" w:space="0" w:color="000000"/>
            </w:tcBorders>
            <w:tcMar>
              <w:top w:w="0" w:type="dxa"/>
              <w:left w:w="0" w:type="dxa"/>
              <w:right w:w="60" w:type="dxa"/>
            </w:tcMar>
            <w:vAlign w:val="center"/>
          </w:tcPr>
          <w:p>
            <w:pPr>
              <w:pStyle w:val="TableContents"/>
              <w:bidi w:val="0"/>
              <w:spacing w:before="0" w:after="283"/>
              <w:jc w:val="left"/>
              <w:rPr/>
            </w:pPr>
            <w:r>
              <w:rPr/>
              <w:t>Title: Attorney in Fact per attached power of attorney</w:t>
            </w:r>
          </w:p>
        </w:tc>
      </w:tr>
      <w:tr>
        <w:trPr/>
        <w:tc>
          <w:tcPr>
            <w:tcW w:w="5042"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right w:val="single" w:sz="8" w:space="0" w:color="000000"/>
            </w:tcBorders>
            <w:tcMar>
              <w:top w:w="0" w:type="dxa"/>
              <w:left w:w="0" w:type="dxa"/>
              <w:bottom w:w="28" w:type="dxa"/>
              <w:right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5043" w:type="dxa"/>
            <w:tcBorders>
              <w:bottom w:val="single" w:sz="8" w:space="0" w:color="000000"/>
              <w:right w:val="single" w:sz="8" w:space="0" w:color="000000"/>
            </w:tcBorders>
            <w:tcMar>
              <w:top w:w="0" w:type="dxa"/>
              <w:left w:w="0" w:type="dxa"/>
              <w:bottom w:w="28" w:type="dxa"/>
              <w:right w:w="6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Merck KG, Darmstadt, Germany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makes, constitutes and appoints each of Dr. Matthias Müllenbeck, MBA, Jens Eckhardt, Kristin Eibisch, Abhira Gonge, Clemens Canel, or any of them acting singly, and with full power of substitution and re-substitution, the Company’s true and lawful attorney-in-fact (each of such persons and their substitutes being referred to herein as the “</w:t>
      </w:r>
      <w:r>
        <w:rPr>
          <w:rFonts w:ascii="Times New Roman;Times;Serif" w:hAnsi="Times New Roman;Times;Serif"/>
          <w:b/>
          <w:i w:val="false"/>
          <w:caps w:val="false"/>
          <w:smallCaps w:val="false"/>
          <w:sz w:val="20"/>
        </w:rPr>
        <w:t>Attorney-in-Fact</w:t>
      </w:r>
      <w:r>
        <w:rPr>
          <w:rFonts w:ascii="Times New Roman;Times;Serif" w:hAnsi="Times New Roman;Times;Serif"/>
          <w:b w:val="false"/>
          <w:i w:val="false"/>
          <w:caps w:val="false"/>
          <w:smallCaps w:val="false"/>
          <w:sz w:val="20"/>
        </w:rPr>
        <w:t>”), with full power to act for the Company and in the Company’s name, place and stead, to: (i) sign any and all instruments, certificates and documents that may be necessary, desirable or appropriate to be executed on behalf of E. Merck KG, Darmstadt, Germany, pursuant to Section 13 or 16 of the Securities Exchange Act of 1934, as amended, and any and all regulations promulgated thereunder, (ii) file the same (including any amendments thereto), with all exhibits thereto, and any other documents in connection therewith, with the Securities and Exchange Commission and (iii) take any other action of any type whatsoever in connection with the foregoing which, in the opinion of such Attorney-in-Fact, may be of benefit to, in the best interest of, or legally required by, the Company, it being understood that the documents executed by such Attorney-in-Fact on behalf of the Company pursuant to this power of attorney shall be in such form and shall contain such terms and conditions as such Attorney-in-Fact may approve in such Attorney-in-Fact’s discretion, granting unto said Attorney-in-Fact full power and authority to do and perform each and every act and thing necessary, desirable or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July 31, 2027 unless earlier revoked by the Company in a signed writing delivered to the Attorney-in-Fact, or, in respect of any Attorney-in-Fact named herein, until such person ceases to be an employee of Merck KGaA or one of its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Power of Attorney as of July 30, 2026.</w:t>
      </w:r>
    </w:p>
    <w:p>
      <w:pPr>
        <w:pStyle w:val="TextBody"/>
        <w:bidi w:val="0"/>
        <w:spacing w:before="0" w:after="0"/>
        <w:ind w:left="0" w:right="0" w:hanging="0"/>
        <w:jc w:val="both"/>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75"/>
        <w:gridCol w:w="2885"/>
      </w:tblGrid>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right"/>
              <w:rPr>
                <w:b/>
              </w:rPr>
            </w:pPr>
            <w:r>
              <w:rPr>
                <w:b/>
              </w:rPr>
              <w:t>E. Merck KG</w:t>
            </w:r>
          </w:p>
        </w:tc>
      </w:tr>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right"/>
              <w:rPr/>
            </w:pPr>
            <w:r>
              <w:rPr/>
              <w:t> </w:t>
            </w:r>
          </w:p>
        </w:tc>
        <w:tc>
          <w:tcPr>
            <w:tcW w:w="2885" w:type="dxa"/>
            <w:tcBorders>
              <w:bottom w:val="single" w:sz="8" w:space="0" w:color="000000"/>
            </w:tcBorders>
            <w:tcMar>
              <w:bottom w:w="28" w:type="dxa"/>
            </w:tcMar>
            <w:vAlign w:val="center"/>
          </w:tcPr>
          <w:p>
            <w:pPr>
              <w:pStyle w:val="TableContents"/>
              <w:bidi w:val="0"/>
              <w:spacing w:before="0" w:after="283"/>
              <w:jc w:val="right"/>
              <w:rPr/>
            </w:pPr>
            <w:r>
              <w:rPr>
                <w:b/>
              </w:rPr>
              <w:t>/</w:t>
            </w:r>
            <w:r>
              <w:rPr/>
              <w:t>s/ Johannes Baillou</w:t>
            </w:r>
          </w:p>
        </w:tc>
      </w:tr>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left"/>
              <w:rPr/>
            </w:pPr>
            <w:r>
              <w:rPr/>
              <w:t>Name: Johannes Baillou</w:t>
            </w:r>
          </w:p>
        </w:tc>
      </w:tr>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left"/>
              <w:rPr/>
            </w:pPr>
            <w:r>
              <w:rPr/>
              <w:t>Title: General Partner</w:t>
            </w:r>
          </w:p>
        </w:tc>
      </w:tr>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right"/>
              <w:rPr/>
            </w:pPr>
            <w:r>
              <w:rPr/>
              <w:t> </w:t>
            </w:r>
          </w:p>
        </w:tc>
        <w:tc>
          <w:tcPr>
            <w:tcW w:w="2885" w:type="dxa"/>
            <w:tcBorders>
              <w:bottom w:val="single" w:sz="8" w:space="0" w:color="000000"/>
            </w:tcBorders>
            <w:tcMar>
              <w:bottom w:w="28" w:type="dxa"/>
            </w:tcMar>
            <w:vAlign w:val="center"/>
          </w:tcPr>
          <w:p>
            <w:pPr>
              <w:pStyle w:val="TableContents"/>
              <w:bidi w:val="0"/>
              <w:spacing w:before="0" w:after="283"/>
              <w:jc w:val="right"/>
              <w:rPr/>
            </w:pPr>
            <w:r>
              <w:rPr/>
              <w:t>/s/ Dr. Wolfgang Büchele</w:t>
            </w:r>
          </w:p>
        </w:tc>
      </w:tr>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left"/>
              <w:rPr/>
            </w:pPr>
            <w:r>
              <w:rPr/>
              <w:t>Name: Dr. Wolfgang Büchele</w:t>
            </w:r>
          </w:p>
        </w:tc>
      </w:tr>
      <w:tr>
        <w:trPr/>
        <w:tc>
          <w:tcPr>
            <w:tcW w:w="75" w:type="dxa"/>
            <w:tcBorders/>
            <w:vAlign w:val="center"/>
          </w:tcPr>
          <w:p>
            <w:pPr>
              <w:pStyle w:val="TableContents"/>
              <w:bidi w:val="0"/>
              <w:spacing w:before="0" w:after="283"/>
              <w:jc w:val="right"/>
              <w:rPr/>
            </w:pPr>
            <w:r>
              <w:rPr/>
              <w:t> </w:t>
            </w:r>
          </w:p>
        </w:tc>
        <w:tc>
          <w:tcPr>
            <w:tcW w:w="2885" w:type="dxa"/>
            <w:tcBorders/>
            <w:vAlign w:val="center"/>
          </w:tcPr>
          <w:p>
            <w:pPr>
              <w:pStyle w:val="TableContents"/>
              <w:bidi w:val="0"/>
              <w:spacing w:before="0" w:after="283"/>
              <w:jc w:val="left"/>
              <w:rPr/>
            </w:pPr>
            <w:r>
              <w:rPr/>
              <w:t>Title: General Partner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2283</Words>
  <Characters>12051</Characters>
  <CharactersWithSpaces>14314</CharactersWithSpaces>
  <Paragraphs>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